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6375" w:rsidRDefault="005F4BE9" w:rsidP="00006375">
      <w:pPr>
        <w:spacing w:after="0" w:line="240" w:lineRule="auto"/>
        <w:jc w:val="center"/>
        <w:rPr>
          <w:b/>
          <w:bCs/>
          <w:sz w:val="28"/>
          <w:szCs w:val="28"/>
        </w:rPr>
      </w:pPr>
      <w:r w:rsidRPr="005F4BE9">
        <w:rPr>
          <w:rFonts w:cs="Times New Roman"/>
          <w:i/>
          <w:spacing w:val="-6"/>
          <w:sz w:val="28"/>
          <w:szCs w:val="28"/>
        </w:rPr>
        <w:t xml:space="preserve">Phụ lục </w:t>
      </w:r>
      <w:r w:rsidR="00006375">
        <w:rPr>
          <w:rFonts w:cs="Times New Roman"/>
          <w:i/>
          <w:spacing w:val="-6"/>
          <w:sz w:val="28"/>
          <w:szCs w:val="28"/>
        </w:rPr>
        <w:t>2a</w:t>
      </w:r>
      <w:r w:rsidRPr="005F4BE9">
        <w:rPr>
          <w:rFonts w:cs="Times New Roman"/>
          <w:i/>
          <w:spacing w:val="-6"/>
          <w:sz w:val="28"/>
          <w:szCs w:val="28"/>
        </w:rPr>
        <w:t>:</w:t>
      </w:r>
      <w:r w:rsidRPr="005F4BE9">
        <w:rPr>
          <w:rFonts w:cs="Times New Roman"/>
          <w:b/>
          <w:spacing w:val="-6"/>
          <w:sz w:val="28"/>
          <w:szCs w:val="28"/>
        </w:rPr>
        <w:t xml:space="preserve"> </w:t>
      </w:r>
      <w:r w:rsidR="00006375" w:rsidRPr="00EC1A59">
        <w:rPr>
          <w:b/>
          <w:bCs/>
          <w:sz w:val="28"/>
          <w:szCs w:val="28"/>
        </w:rPr>
        <w:t xml:space="preserve">Chỉ tiêu, nhiệm vụ trọng tâm </w:t>
      </w:r>
      <w:r w:rsidR="00006375">
        <w:rPr>
          <w:b/>
          <w:bCs/>
          <w:sz w:val="28"/>
          <w:szCs w:val="28"/>
        </w:rPr>
        <w:t>thực hiện</w:t>
      </w:r>
      <w:r w:rsidR="00006375" w:rsidRPr="00EC1A59">
        <w:rPr>
          <w:b/>
          <w:bCs/>
          <w:sz w:val="28"/>
          <w:szCs w:val="28"/>
        </w:rPr>
        <w:t xml:space="preserve"> </w:t>
      </w:r>
    </w:p>
    <w:p w:rsidR="005F4BE9" w:rsidRDefault="00006375" w:rsidP="00006375">
      <w:pPr>
        <w:spacing w:after="0" w:line="240" w:lineRule="auto"/>
        <w:jc w:val="center"/>
        <w:rPr>
          <w:rFonts w:cs="Times New Roman"/>
          <w:b/>
          <w:spacing w:val="-6"/>
          <w:sz w:val="28"/>
          <w:szCs w:val="28"/>
        </w:rPr>
      </w:pPr>
      <w:r w:rsidRPr="00EC1A59">
        <w:rPr>
          <w:b/>
          <w:bCs/>
          <w:sz w:val="28"/>
          <w:szCs w:val="28"/>
        </w:rPr>
        <w:t>mục tiêu tăng trưởng 11% giai đoạn 2026-2030</w:t>
      </w:r>
    </w:p>
    <w:p w:rsidR="00324A18" w:rsidRPr="005F4BE9" w:rsidRDefault="00324A18" w:rsidP="005F4BE9">
      <w:pPr>
        <w:spacing w:before="60" w:after="60" w:line="240" w:lineRule="auto"/>
        <w:jc w:val="center"/>
        <w:rPr>
          <w:rFonts w:cs="Times New Roman"/>
          <w:b/>
          <w:spacing w:val="-6"/>
          <w:sz w:val="28"/>
          <w:szCs w:val="28"/>
        </w:rPr>
      </w:pPr>
    </w:p>
    <w:p w:rsidR="006619CE" w:rsidRPr="005F4BE9" w:rsidRDefault="006619CE" w:rsidP="006619CE">
      <w:pPr>
        <w:pBdr>
          <w:bottom w:val="single" w:sz="4" w:space="31" w:color="FFFFFF"/>
        </w:pBdr>
        <w:spacing w:before="60" w:after="60" w:line="240" w:lineRule="auto"/>
        <w:ind w:firstLine="567"/>
        <w:jc w:val="both"/>
        <w:rPr>
          <w:rFonts w:cs="Times New Roman"/>
          <w:b/>
          <w:bCs/>
          <w:iCs/>
          <w:sz w:val="28"/>
          <w:szCs w:val="28"/>
        </w:rPr>
      </w:pPr>
      <w:r w:rsidRPr="005F4BE9">
        <w:rPr>
          <w:rFonts w:cs="Times New Roman"/>
          <w:b/>
          <w:bCs/>
          <w:iCs/>
          <w:sz w:val="28"/>
          <w:szCs w:val="28"/>
        </w:rPr>
        <w:t>1</w:t>
      </w:r>
      <w:r w:rsidR="00324A18">
        <w:rPr>
          <w:rFonts w:cs="Times New Roman"/>
          <w:b/>
          <w:bCs/>
          <w:iCs/>
          <w:sz w:val="28"/>
          <w:szCs w:val="28"/>
        </w:rPr>
        <w:t>.</w:t>
      </w:r>
      <w:r w:rsidRPr="005F4BE9">
        <w:rPr>
          <w:rFonts w:cs="Times New Roman"/>
          <w:b/>
          <w:bCs/>
          <w:iCs/>
          <w:sz w:val="28"/>
          <w:szCs w:val="28"/>
        </w:rPr>
        <w:t xml:space="preserve"> Công nghiệp</w:t>
      </w:r>
    </w:p>
    <w:p w:rsidR="006619CE" w:rsidRPr="005F4BE9" w:rsidRDefault="006619CE" w:rsidP="006619CE">
      <w:pPr>
        <w:pBdr>
          <w:bottom w:val="single" w:sz="4" w:space="31" w:color="FFFFFF"/>
        </w:pBdr>
        <w:spacing w:before="60" w:after="60" w:line="240" w:lineRule="auto"/>
        <w:ind w:firstLine="567"/>
        <w:jc w:val="both"/>
        <w:rPr>
          <w:rFonts w:cs="Times New Roman"/>
          <w:i/>
          <w:iCs/>
          <w:sz w:val="28"/>
          <w:szCs w:val="28"/>
        </w:rPr>
      </w:pPr>
      <w:r w:rsidRPr="005F4BE9">
        <w:rPr>
          <w:rFonts w:cs="Times New Roman"/>
          <w:sz w:val="28"/>
          <w:szCs w:val="28"/>
        </w:rPr>
        <w:t>Công nghiệp bình quân 2021-2025 tăng (5,5%) chậm hơn so với tăng trưởng chung GRDP (6,6%) và kỳ trước (7,44%); tỷ trọng công nghiệp chế biến, chế tạo ngày càng giảm (</w:t>
      </w:r>
      <w:r w:rsidRPr="005F4BE9">
        <w:rPr>
          <w:szCs w:val="28"/>
        </w:rPr>
        <w:t>năm 2025 còn 12,11% - giảm 1,38 điểm % so với năm 2022).</w:t>
      </w:r>
    </w:p>
    <w:p w:rsidR="006619CE" w:rsidRPr="005F4BE9" w:rsidRDefault="006619CE" w:rsidP="006619CE">
      <w:pPr>
        <w:pBdr>
          <w:bottom w:val="single" w:sz="4" w:space="31" w:color="FFFFFF"/>
        </w:pBdr>
        <w:spacing w:before="60" w:after="60" w:line="240" w:lineRule="auto"/>
        <w:ind w:firstLine="567"/>
        <w:jc w:val="both"/>
        <w:rPr>
          <w:rFonts w:cs="Times New Roman"/>
          <w:i/>
          <w:iCs/>
          <w:sz w:val="28"/>
          <w:szCs w:val="28"/>
        </w:rPr>
      </w:pPr>
      <w:r w:rsidRPr="005F4BE9">
        <w:rPr>
          <w:rFonts w:cs="Times New Roman"/>
          <w:i/>
          <w:iCs/>
          <w:sz w:val="28"/>
          <w:szCs w:val="28"/>
        </w:rPr>
        <w:t>a) Mục tiêu, nhiệm vụ:</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Phát triển Hà Nội thành Trung tâm công nghiệp công nghệ cao của cả nước: Điện tử, thiết bị thông minh, y sinh, cơ khí chính xác… Xây dựng trung tâm R&amp;D + kiểm định tiêu chuẩn</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Thúc đẩy chuyển đổi số các doanh nghiệp sản xuất công nghiệp trên địa bàn Hà Nội: Hỗ trợ 1.000 doanh nghiệp công nghiệp chuyên đổi số/năm; Tăng năng suất 10-20%/năm ở nhóm doanh nghiệp tham gia</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Chuyển đổi xanh để “mở” thị trường: kiểm kê phát thải, năng lượng tái tạo/hiệu suất năng lượng, vật liệu xanh; quản trị Môi trường, Xã hội (ESG).</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Xây dựng KCN thông minh, KCN xanh: Thí điểm 2-3 KCN chuyển đổi mô hình; xây dựng hệ Chỉ số Đo lường Hiệu suất theo: Giá trị/ha; phát thải/đơn vị sản phẩm; Năng suất lao động công nghiệp (tỷ đồng/người/năm); Tỷ trọng công nghiệp chế biến chế tạo; Tỷ lệ doanh nghiệp áp dụng chuyển đổi số; Tỷ lệ nội địa hóa và số DN vệ tinh tham gia chuỗi; Chi R&amp;D/Doanh thu của DN công nghiệp; Tỷ lệ phát thải/giá trị sản xuất</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xml:space="preserve">- Phát triển các cụm công nghiệp, làng nghề; thực hiện hiệu quả Chương trình mỗi làng một sản phẩm (OCOP) </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Giá trị gia tăng ngành công nghiệp tăng từ 10,5%/năm trở lên</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i/>
          <w:iCs/>
          <w:sz w:val="28"/>
          <w:szCs w:val="28"/>
        </w:rPr>
        <w:t>b) Chủ trì tham mưu thực hiện:</w:t>
      </w:r>
      <w:r w:rsidRPr="005F4BE9">
        <w:rPr>
          <w:rFonts w:cs="Times New Roman"/>
          <w:sz w:val="28"/>
          <w:szCs w:val="28"/>
        </w:rPr>
        <w:t xml:space="preserve"> Sở Công Thương; UBND các xã và các đơn vị liên quan</w:t>
      </w:r>
    </w:p>
    <w:p w:rsidR="006619CE" w:rsidRPr="005F4BE9" w:rsidRDefault="006619CE" w:rsidP="006619CE">
      <w:pPr>
        <w:pBdr>
          <w:bottom w:val="single" w:sz="4" w:space="31" w:color="FFFFFF"/>
        </w:pBdr>
        <w:spacing w:before="60" w:after="60" w:line="240" w:lineRule="auto"/>
        <w:ind w:firstLine="567"/>
        <w:jc w:val="both"/>
        <w:rPr>
          <w:rFonts w:cs="Times New Roman"/>
          <w:b/>
          <w:bCs/>
          <w:iCs/>
          <w:sz w:val="28"/>
          <w:szCs w:val="28"/>
        </w:rPr>
      </w:pPr>
      <w:r w:rsidRPr="005F4BE9">
        <w:rPr>
          <w:rFonts w:cs="Times New Roman"/>
          <w:b/>
          <w:bCs/>
          <w:iCs/>
          <w:sz w:val="28"/>
          <w:szCs w:val="28"/>
        </w:rPr>
        <w:t>2</w:t>
      </w:r>
      <w:r w:rsidR="00324A18">
        <w:rPr>
          <w:rFonts w:cs="Times New Roman"/>
          <w:b/>
          <w:bCs/>
          <w:iCs/>
          <w:sz w:val="28"/>
          <w:szCs w:val="28"/>
        </w:rPr>
        <w:t>.</w:t>
      </w:r>
      <w:r w:rsidRPr="005F4BE9">
        <w:rPr>
          <w:rFonts w:cs="Times New Roman"/>
          <w:b/>
          <w:bCs/>
          <w:iCs/>
          <w:sz w:val="28"/>
          <w:szCs w:val="28"/>
        </w:rPr>
        <w:t xml:space="preserve"> Xây dựng</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Xây dựng bình quân 2021-2025 tăng (5,8%) thấp hơn mức tăng GRDP chung (8,16%) và thấp hơn khá nhiều kỳ trước (10,72%). Riêng năm 2025, ngành này tăng khá cao (8,05%) nhờ thúc đẩy tiến độ các công trình/dự án trọng điểm, tỷ lệ giải ngân đầu tư công cao (vượt 19,6% kế hoạch Thủ tướng Chính phủ giao; 96,5% kế hoạch của Thành phố).</w:t>
      </w:r>
    </w:p>
    <w:p w:rsidR="006619CE" w:rsidRPr="005F4BE9" w:rsidRDefault="006619CE" w:rsidP="006619CE">
      <w:pPr>
        <w:pBdr>
          <w:bottom w:val="single" w:sz="4" w:space="31" w:color="FFFFFF"/>
        </w:pBdr>
        <w:spacing w:before="60" w:after="60" w:line="240" w:lineRule="auto"/>
        <w:ind w:firstLine="567"/>
        <w:jc w:val="both"/>
        <w:rPr>
          <w:rFonts w:cs="Times New Roman"/>
          <w:i/>
          <w:iCs/>
          <w:sz w:val="28"/>
          <w:szCs w:val="28"/>
        </w:rPr>
      </w:pPr>
      <w:r w:rsidRPr="005F4BE9">
        <w:rPr>
          <w:rFonts w:cs="Times New Roman"/>
          <w:i/>
          <w:iCs/>
          <w:sz w:val="28"/>
          <w:szCs w:val="28"/>
        </w:rPr>
        <w:t>a) Mục tiêu, nhiệm vụ</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Xử lý các dự án chậm triển khai; lập danh mục các dự án cần tháo gỡ (xếp theo thứ tự mức độ cần thiết)</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Đơn giản hóa quy trình, thủ tục đầu tư dự án; lập Tổ công tác liên ngành về “cấp phép – quy hoạch – PCCC”</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Đẩy nhanh tiến độ thực hiện các dự án lớn, công trình trọng điểm; yêu cầu có bảng tiến độ tại công trường đối với các dự án lớn, trọng điểm: dự án nào đang vướng gì, trách nhiệm xử lý thuộc đơn vị nào…</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Cải cách thủ tục hành chính trong đầu tư, xây dựng: Chuẩn hóa đơn giá - định mức - đấu thầu để “thúc đẩy giải ngân”</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lastRenderedPageBreak/>
        <w:t>- Tái thiết các khu cũ; khởi động tối thiểu 02-03 cụm chung cư cũ và 02 trục TOD</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Chuyển đổi xây dựng “xanh”; chuyển mạnh sang: vật liệu xanh; bê tông siêu tính năng, kết cấu lắp ghép; công trình xanh… phát triển ngành: công nghiệp vật liệu mới; công nghiệp tái chế; thiết bị tiết kiệm năng lượng</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Giá trị gia tăng ngành xây dựng tăng từ 15,4%/năm trở lên; kinh doanh BĐS tăng từ 10,0%/năm trở lên</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i/>
          <w:iCs/>
          <w:sz w:val="28"/>
          <w:szCs w:val="28"/>
        </w:rPr>
        <w:t>b) Chủ trì tham mưu thực hiện:</w:t>
      </w:r>
      <w:r w:rsidRPr="005F4BE9">
        <w:rPr>
          <w:rFonts w:cs="Times New Roman"/>
          <w:sz w:val="28"/>
          <w:szCs w:val="28"/>
        </w:rPr>
        <w:t xml:space="preserve"> Sở Xây dựng, Sở Tài chính, UBND xã, phường và các đơn vị liên quan</w:t>
      </w:r>
    </w:p>
    <w:p w:rsidR="006619CE" w:rsidRPr="005F4BE9" w:rsidRDefault="006619CE" w:rsidP="006619CE">
      <w:pPr>
        <w:pBdr>
          <w:bottom w:val="single" w:sz="4" w:space="31" w:color="FFFFFF"/>
        </w:pBdr>
        <w:spacing w:before="60" w:after="60" w:line="240" w:lineRule="auto"/>
        <w:ind w:firstLine="567"/>
        <w:jc w:val="both"/>
        <w:rPr>
          <w:rFonts w:cs="Times New Roman"/>
          <w:b/>
          <w:bCs/>
          <w:iCs/>
          <w:sz w:val="28"/>
          <w:szCs w:val="28"/>
        </w:rPr>
      </w:pPr>
      <w:r w:rsidRPr="005F4BE9">
        <w:rPr>
          <w:rFonts w:cs="Times New Roman"/>
          <w:b/>
          <w:bCs/>
          <w:iCs/>
          <w:sz w:val="28"/>
          <w:szCs w:val="28"/>
        </w:rPr>
        <w:t>3</w:t>
      </w:r>
      <w:r w:rsidR="00324A18">
        <w:rPr>
          <w:rFonts w:cs="Times New Roman"/>
          <w:b/>
          <w:bCs/>
          <w:iCs/>
          <w:sz w:val="28"/>
          <w:szCs w:val="28"/>
        </w:rPr>
        <w:t>.</w:t>
      </w:r>
      <w:r w:rsidRPr="005F4BE9">
        <w:rPr>
          <w:rFonts w:cs="Times New Roman"/>
          <w:b/>
          <w:bCs/>
          <w:iCs/>
          <w:sz w:val="28"/>
          <w:szCs w:val="28"/>
        </w:rPr>
        <w:t xml:space="preserve"> Bán buôn, bán lẻ; sửa chữa ô tô, mô tô, xe máy và xe có động cơ</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Ngành này bình quân 2021-2025 tăng 7,65%/năm - cao hơn khá nhiều mức tăng GRDP chung (6,6%) và chiếm tỷ trọng ngày càng cao trong GRDP (năm 2020 chiếm 11,38% năm 2025 tăng lên 11,54%).</w:t>
      </w:r>
    </w:p>
    <w:p w:rsidR="006619CE" w:rsidRPr="005F4BE9" w:rsidRDefault="006619CE" w:rsidP="006619CE">
      <w:pPr>
        <w:pBdr>
          <w:bottom w:val="single" w:sz="4" w:space="31" w:color="FFFFFF"/>
        </w:pBdr>
        <w:spacing w:before="60" w:after="60" w:line="240" w:lineRule="auto"/>
        <w:ind w:firstLine="567"/>
        <w:jc w:val="both"/>
        <w:rPr>
          <w:rFonts w:cs="Times New Roman"/>
          <w:i/>
          <w:iCs/>
          <w:sz w:val="28"/>
          <w:szCs w:val="28"/>
        </w:rPr>
      </w:pPr>
      <w:r w:rsidRPr="005F4BE9">
        <w:rPr>
          <w:rFonts w:cs="Times New Roman"/>
          <w:i/>
          <w:iCs/>
          <w:sz w:val="28"/>
          <w:szCs w:val="28"/>
        </w:rPr>
        <w:t>a) Mục tiêu, nhiệm vụ</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Phát triển Hà Nội thành Trung tâm thương mại điện tử &amp; logistics miền Bắc: Hình thành cụm kho thông minh; Cơ sở dữ liệu tiêu dùng, thanh toán số; Hỗ trợ khoảng 50.000 hộ kinh doanh lên sàn giao dịch điện tử</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Phát triển Hà Nội thành Trung tâm dịch vụ số và fintech Hà Nội; Cơ chế sandbox fintech; phát triển thanh toán số, dịch vụ số</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Nâng cấp chợ đầu mối và chuỗi thực phẩm an toàn; Xây dựng các chợ đầu mối hiện đại; Thực hiện truy xuất nguồn gốc bắt buộc theo nhóm hàng</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Bán buôn, bán lẻ; sửa chữa ô tô, mô tô, xe máy và xe có động cơ khác tăng từ 13%/năm trở lên</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i/>
          <w:iCs/>
          <w:sz w:val="28"/>
          <w:szCs w:val="28"/>
        </w:rPr>
        <w:t>b) Chủ trì tham mưu thực hiện:</w:t>
      </w:r>
      <w:r w:rsidRPr="005F4BE9">
        <w:rPr>
          <w:rFonts w:cs="Times New Roman"/>
          <w:sz w:val="28"/>
          <w:szCs w:val="28"/>
        </w:rPr>
        <w:t xml:space="preserve"> Sở Công Thương, Sở Khoa học và Công nghệ, UBND xã, phường và các đơn vị liên quan</w:t>
      </w:r>
    </w:p>
    <w:p w:rsidR="006619CE" w:rsidRPr="005F4BE9" w:rsidRDefault="006619CE" w:rsidP="006619CE">
      <w:pPr>
        <w:pBdr>
          <w:bottom w:val="single" w:sz="4" w:space="31" w:color="FFFFFF"/>
        </w:pBdr>
        <w:spacing w:before="60" w:after="60" w:line="240" w:lineRule="auto"/>
        <w:ind w:firstLine="567"/>
        <w:jc w:val="both"/>
        <w:rPr>
          <w:rFonts w:cs="Times New Roman"/>
          <w:b/>
          <w:bCs/>
          <w:iCs/>
          <w:sz w:val="28"/>
          <w:szCs w:val="28"/>
        </w:rPr>
      </w:pPr>
      <w:r w:rsidRPr="005F4BE9">
        <w:rPr>
          <w:rFonts w:cs="Times New Roman"/>
          <w:b/>
          <w:bCs/>
          <w:iCs/>
          <w:sz w:val="28"/>
          <w:szCs w:val="28"/>
        </w:rPr>
        <w:t>4</w:t>
      </w:r>
      <w:r w:rsidR="00324A18">
        <w:rPr>
          <w:rFonts w:cs="Times New Roman"/>
          <w:b/>
          <w:bCs/>
          <w:iCs/>
          <w:sz w:val="28"/>
          <w:szCs w:val="28"/>
        </w:rPr>
        <w:t>.</w:t>
      </w:r>
      <w:r w:rsidRPr="005F4BE9">
        <w:rPr>
          <w:rFonts w:cs="Times New Roman"/>
          <w:b/>
          <w:bCs/>
          <w:iCs/>
          <w:sz w:val="28"/>
          <w:szCs w:val="28"/>
        </w:rPr>
        <w:t xml:space="preserve"> Vận tải, logistics</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Ngành này bình quân 2021-2025 tăng 9,39%/năm - cao hơn khá nhiều mức tăng GRDP chung (6,6%) và chiếm tỷ trọng tăng nhanh trong GRDP (năm 2020 chiếm 7,04% năm 2025 tăng lên 8,37%).</w:t>
      </w:r>
    </w:p>
    <w:p w:rsidR="006619CE" w:rsidRPr="005F4BE9" w:rsidRDefault="006619CE" w:rsidP="006619CE">
      <w:pPr>
        <w:pBdr>
          <w:bottom w:val="single" w:sz="4" w:space="31" w:color="FFFFFF"/>
        </w:pBdr>
        <w:spacing w:before="60" w:after="60" w:line="240" w:lineRule="auto"/>
        <w:ind w:firstLine="567"/>
        <w:jc w:val="both"/>
        <w:rPr>
          <w:rFonts w:cs="Times New Roman"/>
          <w:i/>
          <w:iCs/>
          <w:sz w:val="28"/>
          <w:szCs w:val="28"/>
        </w:rPr>
      </w:pPr>
      <w:r w:rsidRPr="005F4BE9">
        <w:rPr>
          <w:rFonts w:cs="Times New Roman"/>
          <w:i/>
          <w:iCs/>
          <w:sz w:val="28"/>
          <w:szCs w:val="28"/>
        </w:rPr>
        <w:t>a) Mục tiêu, nhiệm vụ</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Phát triển logistics vùng Thủ đô; Xây dựng 3-5 ICD, kho lạnh, trung tâm phân phối Vùng; Giảm 5-10% chi phí logistics</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Xây dựng và thực hiện Đề án giao thông thông minh; thực hiện điều khiển tín hiệu giao thông và vé điện tử thông minh; cải tổ đội xe buýt và các điểm trung chuyển thông minh, thuận lợi</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Phát triển đột phá mạng lưới metro và vận tải hành khách công cộng (VTHKCC); Tỷ lệ VTHKCC năm 2030 từ 30% trở lên</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Xây dựng hạ tầng các tuyến đường vành đai - xuyên tâm - nút giao gắn với chỉ tiêu về: Tiến độ giải ngân dự án giao thông trọng điểm; Số km đường vành đai/xuyên tâm hoàn thành; Số km metro đưa vào vận hành; Thời gian di chuyển giờ cao điểm trên các trục chính; Chi phí logistics/GDP; Mức phát thải giao thông đô thị</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lastRenderedPageBreak/>
        <w:t>- Phát triển giao thông xanh; hình thành hệ thống mạng trạm sạc tại các bãi đỗ xe công cộng, chung cư, trung tâm thương mại, depot xe buýt, điểm trung chuyển… Tăng tỷ lệ bus điện, taxi điện, xe máy điện</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Giá trị gia tăng Vận tải, logistics tăng từ 13%/năm trở lên</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i/>
          <w:sz w:val="28"/>
          <w:szCs w:val="28"/>
        </w:rPr>
        <w:t>b) Chủ trì tham mưu thực hiện:</w:t>
      </w:r>
      <w:r w:rsidRPr="005F4BE9">
        <w:rPr>
          <w:rFonts w:cs="Times New Roman"/>
          <w:sz w:val="28"/>
          <w:szCs w:val="28"/>
        </w:rPr>
        <w:t xml:space="preserve"> Sở Xây dựng, Công an thành phố Hà Nội và các đơn vị liên quan</w:t>
      </w:r>
    </w:p>
    <w:p w:rsidR="006619CE" w:rsidRPr="005F4BE9" w:rsidRDefault="006619CE" w:rsidP="006619CE">
      <w:pPr>
        <w:pBdr>
          <w:bottom w:val="single" w:sz="4" w:space="31" w:color="FFFFFF"/>
        </w:pBdr>
        <w:spacing w:before="60" w:after="60" w:line="240" w:lineRule="auto"/>
        <w:ind w:firstLine="567"/>
        <w:jc w:val="both"/>
        <w:rPr>
          <w:rFonts w:cs="Times New Roman"/>
          <w:b/>
          <w:iCs/>
          <w:sz w:val="28"/>
          <w:szCs w:val="28"/>
        </w:rPr>
      </w:pPr>
      <w:r w:rsidRPr="005F4BE9">
        <w:rPr>
          <w:rFonts w:cs="Times New Roman"/>
          <w:b/>
          <w:iCs/>
          <w:sz w:val="28"/>
          <w:szCs w:val="28"/>
        </w:rPr>
        <w:t>5</w:t>
      </w:r>
      <w:r w:rsidR="00324A18">
        <w:rPr>
          <w:rFonts w:cs="Times New Roman"/>
          <w:b/>
          <w:iCs/>
          <w:sz w:val="28"/>
          <w:szCs w:val="28"/>
        </w:rPr>
        <w:t>.</w:t>
      </w:r>
      <w:r w:rsidRPr="005F4BE9">
        <w:rPr>
          <w:rFonts w:cs="Times New Roman"/>
          <w:b/>
          <w:iCs/>
          <w:sz w:val="28"/>
          <w:szCs w:val="28"/>
        </w:rPr>
        <w:t xml:space="preserve"> Dịch vụ lưu trú và ăn uống</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xml:space="preserve">Ngành này bình quân 2021-2025 tăng (6,4%) – thấp hơn mức tăng GRDP chung (6,6%); tỷ trọng ngành này chiếm khoảng 2% GRDP.  </w:t>
      </w:r>
    </w:p>
    <w:p w:rsidR="006619CE" w:rsidRPr="005F4BE9" w:rsidRDefault="006619CE" w:rsidP="006619CE">
      <w:pPr>
        <w:pBdr>
          <w:bottom w:val="single" w:sz="4" w:space="31" w:color="FFFFFF"/>
        </w:pBdr>
        <w:spacing w:before="60" w:after="60" w:line="240" w:lineRule="auto"/>
        <w:ind w:firstLine="567"/>
        <w:jc w:val="both"/>
        <w:rPr>
          <w:rFonts w:cs="Times New Roman"/>
          <w:i/>
          <w:iCs/>
          <w:sz w:val="28"/>
          <w:szCs w:val="28"/>
        </w:rPr>
      </w:pPr>
      <w:r w:rsidRPr="005F4BE9">
        <w:rPr>
          <w:rFonts w:cs="Times New Roman"/>
          <w:i/>
          <w:iCs/>
          <w:sz w:val="28"/>
          <w:szCs w:val="28"/>
        </w:rPr>
        <w:t>a) Mục tiêu, nhiệm vụ</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xml:space="preserve">- Tăng các sản phẩm du lịch, các điểm du lịch. </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xml:space="preserve">- Phát triển du lịch, mua sắm, kinh tế đêm: Tăng số tour đêm, phố đêm, MICE; mở rộng phố đi bộ, không gian công cộng, biểu diễn đường phố; </w:t>
      </w:r>
    </w:p>
    <w:p w:rsidR="006619CE" w:rsidRPr="005F4BE9" w:rsidRDefault="006619CE" w:rsidP="006619CE">
      <w:pPr>
        <w:pBdr>
          <w:bottom w:val="single" w:sz="4" w:space="31" w:color="FFFFFF"/>
        </w:pBdr>
        <w:spacing w:before="60" w:after="60" w:line="240" w:lineRule="auto"/>
        <w:ind w:firstLine="567"/>
        <w:jc w:val="both"/>
        <w:rPr>
          <w:rFonts w:cs="Times New Roman"/>
          <w:bCs/>
          <w:sz w:val="28"/>
          <w:szCs w:val="28"/>
        </w:rPr>
      </w:pPr>
      <w:r w:rsidRPr="005F4BE9">
        <w:rPr>
          <w:rFonts w:cs="Times New Roman"/>
          <w:bCs/>
          <w:sz w:val="28"/>
          <w:szCs w:val="28"/>
        </w:rPr>
        <w:t>- Hình thành 5-7 khu/không gian kinh tế đêm tập trung (Hồ Gươm – phố cổ, Hồ Tây, Tây Hồ Tây, một số khu TOD, đô thị mới);</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xml:space="preserve">- Xây dựng, mở rộng: phố nghệ thuật – phố sách – phố sáng tạo; </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Tăng doanh thu thương mại ngoài giờ; Nâng mức chi tiêu/ khách du lịch; Nâng số ngày lưu trú/ khách du lịch</w:t>
      </w:r>
    </w:p>
    <w:p w:rsidR="006619CE" w:rsidRPr="005F4BE9" w:rsidRDefault="006619CE" w:rsidP="006619CE">
      <w:pPr>
        <w:pBdr>
          <w:bottom w:val="single" w:sz="4" w:space="31" w:color="FFFFFF"/>
        </w:pBdr>
        <w:spacing w:before="60" w:after="60" w:line="240" w:lineRule="auto"/>
        <w:ind w:firstLine="567"/>
        <w:jc w:val="both"/>
        <w:rPr>
          <w:rFonts w:cs="Times New Roman"/>
          <w:bCs/>
          <w:sz w:val="28"/>
          <w:szCs w:val="28"/>
        </w:rPr>
      </w:pPr>
      <w:r w:rsidRPr="005F4BE9">
        <w:rPr>
          <w:rFonts w:cs="Times New Roman"/>
          <w:bCs/>
          <w:sz w:val="28"/>
          <w:szCs w:val="28"/>
        </w:rPr>
        <w:t>- Có 50-60% cơ sở dịch vụ du lịch, văn hóa, ẩm thực tại khu trung tâm có thể hoạt động sau 24h theo giấy phép</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i/>
          <w:iCs/>
          <w:sz w:val="28"/>
          <w:szCs w:val="28"/>
        </w:rPr>
        <w:t>b) Chủ trì tham mưu thực hiện:</w:t>
      </w:r>
      <w:r w:rsidRPr="005F4BE9">
        <w:rPr>
          <w:rFonts w:cs="Times New Roman"/>
          <w:sz w:val="28"/>
          <w:szCs w:val="28"/>
        </w:rPr>
        <w:t xml:space="preserve"> Sở Công Thương, Sở Du lịch, Sở Văn hóa và Thể thao, UBND xã, phường và các đơn vị liên quan</w:t>
      </w:r>
    </w:p>
    <w:p w:rsidR="006619CE" w:rsidRPr="005F4BE9" w:rsidRDefault="006619CE" w:rsidP="006619CE">
      <w:pPr>
        <w:pBdr>
          <w:bottom w:val="single" w:sz="4" w:space="31" w:color="FFFFFF"/>
        </w:pBdr>
        <w:spacing w:before="60" w:after="60" w:line="240" w:lineRule="auto"/>
        <w:ind w:firstLine="567"/>
        <w:jc w:val="both"/>
        <w:rPr>
          <w:rFonts w:cs="Times New Roman"/>
          <w:b/>
          <w:iCs/>
          <w:sz w:val="28"/>
          <w:szCs w:val="28"/>
        </w:rPr>
      </w:pPr>
      <w:r w:rsidRPr="005F4BE9">
        <w:rPr>
          <w:rFonts w:cs="Times New Roman"/>
          <w:b/>
          <w:iCs/>
          <w:sz w:val="28"/>
          <w:szCs w:val="28"/>
        </w:rPr>
        <w:t>6</w:t>
      </w:r>
      <w:r w:rsidR="00324A18">
        <w:rPr>
          <w:rFonts w:cs="Times New Roman"/>
          <w:b/>
          <w:iCs/>
          <w:sz w:val="28"/>
          <w:szCs w:val="28"/>
        </w:rPr>
        <w:t>.</w:t>
      </w:r>
      <w:r w:rsidRPr="005F4BE9">
        <w:rPr>
          <w:rFonts w:cs="Times New Roman"/>
          <w:b/>
          <w:iCs/>
          <w:sz w:val="28"/>
          <w:szCs w:val="28"/>
        </w:rPr>
        <w:t xml:space="preserve"> Văn hóa, nghệ thuật</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xml:space="preserve">Ngành này bình quân 2021-2025 tăng (7,37%) – cao hơn mức tăng GRDP chung (6,6%); tỷ trọng ngành này không lớn, khoảng 0,57% GRDP. Công nghiệp văn hóa chưa thực sự trở thành ngành kinh tế mũi nhọn, đóng góp cho tăng trưởng còn thấp so với tiềm năng; khai thác không gian văn hóa – di sản chưa hiệu quả, thiếu không gian sáng tạo văn hóa quy mô lớn. </w:t>
      </w:r>
    </w:p>
    <w:p w:rsidR="006619CE" w:rsidRPr="005F4BE9" w:rsidRDefault="006619CE" w:rsidP="006619CE">
      <w:pPr>
        <w:pBdr>
          <w:bottom w:val="single" w:sz="4" w:space="31" w:color="FFFFFF"/>
        </w:pBdr>
        <w:spacing w:before="60" w:after="60" w:line="240" w:lineRule="auto"/>
        <w:ind w:firstLine="567"/>
        <w:jc w:val="both"/>
        <w:rPr>
          <w:rFonts w:cs="Times New Roman"/>
          <w:i/>
          <w:iCs/>
          <w:sz w:val="28"/>
          <w:szCs w:val="28"/>
        </w:rPr>
      </w:pPr>
      <w:r w:rsidRPr="005F4BE9">
        <w:rPr>
          <w:rFonts w:cs="Times New Roman"/>
          <w:i/>
          <w:iCs/>
          <w:sz w:val="28"/>
          <w:szCs w:val="28"/>
        </w:rPr>
        <w:t>a) Mục tiêu, nhiệm vụ</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Bảo tồn, tôn tạo di tích, di sản.</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Đầu tư hạ tầng và nâng cấp dịch vụ tại điểm đến: thuyết minh số, vé điện tử, kết nối điểm di sản theo tuyến;</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Hoàn thiện cơ chế quản trị di sản: Phân cấp rõ trách nhiệm quản lý, xã hội hóa có kiểm soát; Lập hồ sơ trình UNESCO công nhận khu Hương Sơn (Chùa Hương) là Di sản Văn hóa Thiên nhiên Thế giới.</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Phát triển công nghiệp văn hóa – kinh tế sáng tạo; Hình thành “cụm công nghiệp văn hóa” và trung tâm sáng tạo; Dữ liệu hóa di sản, số hóa trải nghiệm: 3D/VR/AR, bản đồ di sản số; Vé điện tử, thuyết minh số đa ngôn ngữ; Nền tảng số quảng bá và thương mại hóa sản phẩm văn hóa (e-commerce quà tặng, vé show… Doanh thu dịch vụ văn hóa, biểu diễn, sự kiện (tỷ đồng/năm).</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lastRenderedPageBreak/>
        <w:t>- Giá trị gia tăng nghệ thuật, vui chơi giải trí tăng từ 11,0%/năm trở lên; Tỷ trọng công nghiệp văn hóa năm 2030 chiếm 8% GRDP.</w:t>
      </w:r>
    </w:p>
    <w:p w:rsidR="006619CE" w:rsidRPr="005F4BE9" w:rsidRDefault="006619CE" w:rsidP="006619CE">
      <w:pPr>
        <w:pBdr>
          <w:bottom w:val="single" w:sz="4" w:space="31" w:color="FFFFFF"/>
        </w:pBdr>
        <w:spacing w:before="60" w:after="60" w:line="240" w:lineRule="auto"/>
        <w:ind w:firstLine="567"/>
        <w:jc w:val="both"/>
        <w:rPr>
          <w:rFonts w:cs="Times New Roman"/>
          <w:iCs/>
          <w:sz w:val="28"/>
          <w:szCs w:val="28"/>
        </w:rPr>
      </w:pPr>
      <w:r w:rsidRPr="005F4BE9">
        <w:rPr>
          <w:rFonts w:cs="Times New Roman"/>
          <w:i/>
          <w:iCs/>
          <w:sz w:val="28"/>
          <w:szCs w:val="28"/>
        </w:rPr>
        <w:t xml:space="preserve">b) Chủ trì tham mưu thực hiện: </w:t>
      </w:r>
      <w:r w:rsidRPr="005F4BE9">
        <w:rPr>
          <w:rFonts w:cs="Times New Roman"/>
          <w:iCs/>
          <w:sz w:val="28"/>
          <w:szCs w:val="28"/>
        </w:rPr>
        <w:t>Sở Văn hóa và Thể thao; UBND các xã, phường và các đơn vị có liên quan</w:t>
      </w:r>
    </w:p>
    <w:p w:rsidR="006619CE" w:rsidRPr="005F4BE9" w:rsidRDefault="006619CE" w:rsidP="006619CE">
      <w:pPr>
        <w:pBdr>
          <w:bottom w:val="single" w:sz="4" w:space="31" w:color="FFFFFF"/>
        </w:pBdr>
        <w:spacing w:before="60" w:after="60" w:line="240" w:lineRule="auto"/>
        <w:ind w:firstLine="567"/>
        <w:jc w:val="both"/>
        <w:rPr>
          <w:rFonts w:cs="Times New Roman"/>
          <w:b/>
          <w:iCs/>
          <w:sz w:val="28"/>
          <w:szCs w:val="28"/>
        </w:rPr>
      </w:pPr>
      <w:r w:rsidRPr="005F4BE9">
        <w:rPr>
          <w:rFonts w:cs="Times New Roman"/>
          <w:b/>
          <w:iCs/>
          <w:sz w:val="28"/>
          <w:szCs w:val="28"/>
        </w:rPr>
        <w:t>7</w:t>
      </w:r>
      <w:r w:rsidR="00324A18">
        <w:rPr>
          <w:rFonts w:cs="Times New Roman"/>
          <w:b/>
          <w:iCs/>
          <w:sz w:val="28"/>
          <w:szCs w:val="28"/>
        </w:rPr>
        <w:t>.</w:t>
      </w:r>
      <w:r w:rsidRPr="005F4BE9">
        <w:rPr>
          <w:rFonts w:cs="Times New Roman"/>
          <w:b/>
          <w:iCs/>
          <w:sz w:val="28"/>
          <w:szCs w:val="28"/>
        </w:rPr>
        <w:t xml:space="preserve"> Giáo dục và Đào tạo</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Ngành này bình quân 2021-2025 tăng (6,74%) – cao hơn mức tăng GRDP chung (6,6%); tỷ trọng tăng trong GRDP (năm 2020 chiếm 4,65% năm 2025 tăng lên 5,11%).</w:t>
      </w:r>
    </w:p>
    <w:p w:rsidR="006619CE" w:rsidRPr="005F4BE9" w:rsidRDefault="006619CE" w:rsidP="006619CE">
      <w:pPr>
        <w:pBdr>
          <w:bottom w:val="single" w:sz="4" w:space="31" w:color="FFFFFF"/>
        </w:pBdr>
        <w:spacing w:before="60" w:after="60" w:line="240" w:lineRule="auto"/>
        <w:ind w:firstLine="567"/>
        <w:jc w:val="both"/>
        <w:rPr>
          <w:rFonts w:cs="Times New Roman"/>
          <w:i/>
          <w:iCs/>
          <w:sz w:val="28"/>
          <w:szCs w:val="28"/>
        </w:rPr>
      </w:pPr>
      <w:r w:rsidRPr="005F4BE9">
        <w:rPr>
          <w:rFonts w:cs="Times New Roman"/>
          <w:i/>
          <w:iCs/>
          <w:sz w:val="28"/>
          <w:szCs w:val="28"/>
        </w:rPr>
        <w:t>a) Mục tiêu, nhiệm vụ</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Nâng cấp giáo dục và đào tạo thành ngành dịch vụ giá trị cao: Chương trình đào tạo chuẩn hóa quốc tế; Cơ cấu lại hệ thống trường nghề theo 3 nhóm: Trọng điểm chất lượng cao (chuẩn khu vực/quốc tế); trường nghề phục vụ công nghiệp, xây dựng, logistics; Trung tâm đào tạo ngắn hạn (kỹ năng số, dịch vụ)</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Khuyến khích xã hội hóa giáo dục và đào tạo; đào tạo theo thị trường, theo công nghệ, theo đặt hàng: Cơ chế đào tạo theo đặt hàng: Doanh nghiệp tham gia xây dựng chương trình; thực hành tại nhà máy; đánh giá kỹ năng theo tiêu chuẩn nghề; Tỷ lệ học sinh/sinh viên tham gia STEM, STEAM</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Rà soát khung chương trình đào tạo tại các cấp học để bổ sung nội dung đào tạo về khởi sự, khởi nghiệp kinh doanh nhằm thúc đẩy tinh thần khởi nghiệp, khởi sự kinh doanh trong học sinh, sinh viên.</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Đào tạo lại, chuyển đổi nghề, thành lập Quỹ hỗ trợ đào tạo, nâng cao kỹ năng cho lao động</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Hoàn thành các mục tiêu, nhiệm vụ thực hiện Nghị quyết 71-NQ/TW của Bộ Chính trị</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Giá trị gia tăng ngành giáo dục và đào tạo tăng từ 10%/năm trở lên; Đến năm 2030, tỷ lệ lao động qua đào tạo từ 80% trở lên; duy trì tỷ lệ thất nghiệp thành thị dưới 3%</w:t>
      </w:r>
    </w:p>
    <w:p w:rsidR="006619CE" w:rsidRPr="005F4BE9" w:rsidRDefault="006619CE" w:rsidP="006619CE">
      <w:pPr>
        <w:pBdr>
          <w:bottom w:val="single" w:sz="4" w:space="31" w:color="FFFFFF"/>
        </w:pBdr>
        <w:spacing w:before="60" w:after="60" w:line="240" w:lineRule="auto"/>
        <w:ind w:firstLine="567"/>
        <w:jc w:val="both"/>
        <w:rPr>
          <w:rFonts w:cs="Times New Roman"/>
          <w:iCs/>
          <w:sz w:val="28"/>
          <w:szCs w:val="28"/>
        </w:rPr>
      </w:pPr>
      <w:r w:rsidRPr="005F4BE9">
        <w:rPr>
          <w:rFonts w:cs="Times New Roman"/>
          <w:i/>
          <w:iCs/>
          <w:sz w:val="28"/>
          <w:szCs w:val="28"/>
        </w:rPr>
        <w:t xml:space="preserve">b) Chủ trì tham mưu thực hiện: </w:t>
      </w:r>
      <w:r w:rsidRPr="005F4BE9">
        <w:rPr>
          <w:rFonts w:cs="Times New Roman"/>
          <w:iCs/>
          <w:sz w:val="28"/>
          <w:szCs w:val="28"/>
        </w:rPr>
        <w:t>Sở Giáo dục và Đào tạo; Sở Nội vụ, UBND xã, phường và các sở, ban, ngành liên quan</w:t>
      </w:r>
    </w:p>
    <w:p w:rsidR="006619CE" w:rsidRPr="005F4BE9" w:rsidRDefault="006619CE" w:rsidP="006619CE">
      <w:pPr>
        <w:pBdr>
          <w:bottom w:val="single" w:sz="4" w:space="31" w:color="FFFFFF"/>
        </w:pBdr>
        <w:spacing w:before="60" w:after="60" w:line="240" w:lineRule="auto"/>
        <w:ind w:firstLine="567"/>
        <w:jc w:val="both"/>
        <w:rPr>
          <w:rFonts w:cs="Times New Roman"/>
          <w:b/>
          <w:iCs/>
          <w:sz w:val="28"/>
          <w:szCs w:val="28"/>
        </w:rPr>
      </w:pPr>
      <w:r w:rsidRPr="005F4BE9">
        <w:rPr>
          <w:rFonts w:cs="Times New Roman"/>
          <w:b/>
          <w:iCs/>
          <w:sz w:val="28"/>
          <w:szCs w:val="28"/>
        </w:rPr>
        <w:t>8</w:t>
      </w:r>
      <w:r w:rsidR="00324A18">
        <w:rPr>
          <w:rFonts w:cs="Times New Roman"/>
          <w:b/>
          <w:iCs/>
          <w:sz w:val="28"/>
          <w:szCs w:val="28"/>
        </w:rPr>
        <w:t>.</w:t>
      </w:r>
      <w:r w:rsidRPr="005F4BE9">
        <w:rPr>
          <w:rFonts w:cs="Times New Roman"/>
          <w:b/>
          <w:iCs/>
          <w:sz w:val="28"/>
          <w:szCs w:val="28"/>
        </w:rPr>
        <w:t xml:space="preserve"> Khoa học và công nghệ</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xml:space="preserve">Ngành này bình quân 2021-2025 tăng (6,26%) – thấp hơn mức tăng GRDP chung (6,6%); tỷ trọng tăng trong GRDP chiếm khoảng 6%. </w:t>
      </w:r>
      <w:r w:rsidRPr="005F4BE9">
        <w:rPr>
          <w:sz w:val="28"/>
          <w:szCs w:val="28"/>
          <w:lang w:val="es-MX"/>
        </w:rPr>
        <w:t xml:space="preserve">Cơ chế, chính sách đột phá về khoa học, công nghệ chưa hoàn thiện, chưa khuyến khích doanh nghiệp đổi mới, chuyển giao công nghệ và chưa thu hút được nhiều dự án công nghệ cao. </w:t>
      </w:r>
      <w:r w:rsidRPr="005F4BE9">
        <w:rPr>
          <w:rFonts w:eastAsiaTheme="minorHAnsi"/>
          <w:spacing w:val="-2"/>
          <w:kern w:val="2"/>
          <w:sz w:val="28"/>
          <w:szCs w:val="28"/>
          <w14:ligatures w14:val="standardContextual"/>
        </w:rPr>
        <w:t>Kinh tế số đóng góp vào tăng trưởng GRDP chưa như kỳ vọng (năm 2025 đạt 17,34% - chưa đạt mục tiêu là 30%).</w:t>
      </w:r>
    </w:p>
    <w:p w:rsidR="006619CE" w:rsidRPr="005F4BE9" w:rsidRDefault="006619CE" w:rsidP="006619CE">
      <w:pPr>
        <w:pBdr>
          <w:bottom w:val="single" w:sz="4" w:space="31" w:color="FFFFFF"/>
        </w:pBdr>
        <w:spacing w:before="60" w:after="60" w:line="240" w:lineRule="auto"/>
        <w:ind w:firstLine="567"/>
        <w:jc w:val="both"/>
        <w:rPr>
          <w:rFonts w:cs="Times New Roman"/>
          <w:i/>
          <w:iCs/>
          <w:sz w:val="28"/>
          <w:szCs w:val="28"/>
        </w:rPr>
      </w:pPr>
      <w:r w:rsidRPr="005F4BE9">
        <w:rPr>
          <w:rFonts w:cs="Times New Roman"/>
          <w:i/>
          <w:iCs/>
          <w:sz w:val="28"/>
          <w:szCs w:val="28"/>
        </w:rPr>
        <w:t>a) Mục tiêu, nhiệm vụ</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Xây dựng “</w:t>
      </w:r>
      <w:r w:rsidRPr="005F4BE9">
        <w:rPr>
          <w:rFonts w:cs="Times New Roman"/>
          <w:bCs/>
          <w:sz w:val="28"/>
          <w:szCs w:val="28"/>
        </w:rPr>
        <w:t>Hà Nội – Trung tâm đổi mới sáng tạo của cả nước</w:t>
      </w:r>
      <w:r w:rsidRPr="005F4BE9">
        <w:rPr>
          <w:rFonts w:cs="Times New Roman"/>
          <w:sz w:val="28"/>
          <w:szCs w:val="28"/>
        </w:rPr>
        <w:t>”, hệ sinh thái đổi mới sáng tạo “Make in Hanoi” với Khu công nghệ cao Hòa Lạc là hạt nhân. P</w:t>
      </w:r>
      <w:r w:rsidRPr="005F4BE9">
        <w:rPr>
          <w:rFonts w:cs="Times New Roman"/>
          <w:sz w:val="28"/>
          <w:szCs w:val="28"/>
          <w:lang w:val="vi-VN"/>
        </w:rPr>
        <w:t xml:space="preserve">hát triển </w:t>
      </w:r>
      <w:r w:rsidRPr="005F4BE9">
        <w:rPr>
          <w:rFonts w:cs="Times New Roman"/>
          <w:sz w:val="28"/>
          <w:szCs w:val="28"/>
        </w:rPr>
        <w:t>K</w:t>
      </w:r>
      <w:r w:rsidRPr="005F4BE9">
        <w:rPr>
          <w:rFonts w:cs="Times New Roman"/>
          <w:sz w:val="28"/>
          <w:szCs w:val="28"/>
          <w:lang w:val="vi-VN"/>
        </w:rPr>
        <w:t xml:space="preserve">hu công nghiệp công nghệ số </w:t>
      </w:r>
      <w:r w:rsidRPr="005F4BE9">
        <w:rPr>
          <w:rFonts w:cs="Times New Roman"/>
          <w:sz w:val="28"/>
          <w:szCs w:val="28"/>
        </w:rPr>
        <w:t>tập trung đổi mới sáng tạo (phường Phú Diễn và phường Tây Tựu (FPT</w:t>
      </w:r>
      <w:r w:rsidRPr="005F4BE9">
        <w:rPr>
          <w:rFonts w:cs="Times New Roman"/>
          <w:sz w:val="28"/>
          <w:szCs w:val="28"/>
          <w:lang w:val="vi-VN"/>
        </w:rPr>
        <w:t>)</w:t>
      </w:r>
      <w:r w:rsidRPr="005F4BE9">
        <w:rPr>
          <w:rFonts w:cs="Times New Roman"/>
          <w:sz w:val="28"/>
          <w:szCs w:val="28"/>
        </w:rPr>
        <w:t xml:space="preserve">, Khu công nghệ cao sinh học Hà Nội (phường Thượng Cát). </w:t>
      </w:r>
    </w:p>
    <w:p w:rsidR="006619CE" w:rsidRPr="005F4BE9" w:rsidRDefault="006619CE" w:rsidP="006619CE">
      <w:pPr>
        <w:pBdr>
          <w:bottom w:val="single" w:sz="4" w:space="31" w:color="FFFFFF"/>
        </w:pBdr>
        <w:spacing w:before="60" w:after="60" w:line="240" w:lineRule="auto"/>
        <w:ind w:firstLine="567"/>
        <w:jc w:val="both"/>
        <w:rPr>
          <w:rStyle w:val="Strong"/>
          <w:rFonts w:cs="Times New Roman"/>
          <w:sz w:val="28"/>
          <w:szCs w:val="28"/>
        </w:rPr>
      </w:pPr>
      <w:r w:rsidRPr="005F4BE9">
        <w:rPr>
          <w:rStyle w:val="Strong"/>
          <w:rFonts w:cs="Times New Roman"/>
          <w:sz w:val="28"/>
          <w:szCs w:val="28"/>
        </w:rPr>
        <w:lastRenderedPageBreak/>
        <w:t xml:space="preserve">- </w:t>
      </w:r>
      <w:r w:rsidRPr="005F4BE9">
        <w:rPr>
          <w:rStyle w:val="Strong"/>
          <w:rFonts w:cs="Times New Roman"/>
          <w:b w:val="0"/>
          <w:sz w:val="28"/>
          <w:szCs w:val="28"/>
        </w:rPr>
        <w:t>Đổi mới cơ chế quản lý khoa học – công nghệ</w:t>
      </w:r>
      <w:r w:rsidRPr="005F4BE9">
        <w:rPr>
          <w:rFonts w:cs="Times New Roman"/>
          <w:sz w:val="28"/>
          <w:szCs w:val="28"/>
        </w:rPr>
        <w:t xml:space="preserve"> chuyển mạnh từ cấp kinh phí theo đề tài, nhiệm vụ sang </w:t>
      </w:r>
      <w:r w:rsidRPr="005F4BE9">
        <w:rPr>
          <w:rStyle w:val="Strong"/>
          <w:rFonts w:cs="Times New Roman"/>
          <w:b w:val="0"/>
          <w:sz w:val="28"/>
          <w:szCs w:val="28"/>
        </w:rPr>
        <w:t>đặt hàng theo nhu cầu thực tiễn</w:t>
      </w:r>
      <w:r w:rsidRPr="005F4BE9">
        <w:rPr>
          <w:rStyle w:val="Strong"/>
          <w:rFonts w:cs="Times New Roman"/>
          <w:sz w:val="28"/>
          <w:szCs w:val="28"/>
        </w:rPr>
        <w:t xml:space="preserve"> </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xml:space="preserve">- Phát triển kinh tế chuỗi khối/on-chain, fintech; tài sản số (token hóa tài sản); phát triển các ngành kinh tế số lõi… </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Kho dữ liệu dùng chung Thành phố; Tỷ lệ ≥80% dữ liệu nền tảng được tích hợp; Hình thành Data lake + tiêu chuẩn dữ liệu + kết nối liên thông</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Chương trình hỗ trợ DN NVV số hóa 5 trụ cột phát triển “Kinh tế – Văn hoá – Xã hội – Môi trường – Quốc phòng an ninh, đối ngoại”; tỷ lệ trên 70% số DNNVV ứng dụng nền tảng số</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Hình thành Trung tâm đổi mới sáng tạo; Tăng số DN startup/DN KH&amp;CN bình quân trên 15%/năm</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Hoàn thành các mục tiêu, nhiệm vụ thực hiện Nghị quyết 57-NQ/TW của Bộ Chính trị</w:t>
      </w:r>
    </w:p>
    <w:p w:rsidR="006619CE" w:rsidRPr="005F4BE9" w:rsidRDefault="006619CE" w:rsidP="006619CE">
      <w:pPr>
        <w:pBdr>
          <w:bottom w:val="single" w:sz="4" w:space="31" w:color="FFFFFF"/>
        </w:pBdr>
        <w:spacing w:before="60" w:after="60" w:line="240" w:lineRule="auto"/>
        <w:ind w:firstLine="567"/>
        <w:jc w:val="both"/>
        <w:rPr>
          <w:rStyle w:val="Strong"/>
          <w:rFonts w:cs="Times New Roman"/>
          <w:sz w:val="28"/>
          <w:szCs w:val="28"/>
        </w:rPr>
      </w:pPr>
      <w:r w:rsidRPr="005F4BE9">
        <w:rPr>
          <w:rFonts w:cs="Times New Roman"/>
          <w:sz w:val="28"/>
          <w:szCs w:val="28"/>
        </w:rPr>
        <w:t xml:space="preserve">- Khuyến khích doanh nghiệp lớn, tập đoàn công nghệ đặt </w:t>
      </w:r>
      <w:r w:rsidRPr="005F4BE9">
        <w:rPr>
          <w:rStyle w:val="Strong"/>
          <w:rFonts w:cs="Times New Roman"/>
          <w:b w:val="0"/>
          <w:sz w:val="28"/>
          <w:szCs w:val="28"/>
        </w:rPr>
        <w:t>phòng thí nghiệm, trung tâm nghiên cứu ứng dụng</w:t>
      </w:r>
      <w:r w:rsidRPr="005F4BE9">
        <w:rPr>
          <w:rFonts w:cs="Times New Roman"/>
          <w:sz w:val="28"/>
          <w:szCs w:val="28"/>
        </w:rPr>
        <w:t xml:space="preserve"> tại Hà Nội bằng cơ chế, chính sách ư</w:t>
      </w:r>
      <w:r w:rsidRPr="005F4BE9">
        <w:rPr>
          <w:rStyle w:val="Strong"/>
          <w:rFonts w:cs="Times New Roman"/>
          <w:b w:val="0"/>
          <w:sz w:val="28"/>
          <w:szCs w:val="28"/>
        </w:rPr>
        <w:t>u đãi.</w:t>
      </w:r>
      <w:r w:rsidRPr="005F4BE9">
        <w:rPr>
          <w:rStyle w:val="Strong"/>
          <w:rFonts w:cs="Times New Roman"/>
          <w:sz w:val="28"/>
          <w:szCs w:val="28"/>
        </w:rPr>
        <w:t xml:space="preserve"> </w:t>
      </w:r>
    </w:p>
    <w:p w:rsidR="006619CE" w:rsidRPr="005F4BE9" w:rsidRDefault="006619CE" w:rsidP="006619CE">
      <w:pPr>
        <w:pBdr>
          <w:bottom w:val="single" w:sz="4" w:space="31" w:color="FFFFFF"/>
        </w:pBdr>
        <w:spacing w:before="60" w:after="60" w:line="240" w:lineRule="auto"/>
        <w:ind w:firstLine="709"/>
        <w:jc w:val="both"/>
        <w:rPr>
          <w:rFonts w:cs="Times New Roman"/>
          <w:sz w:val="28"/>
          <w:szCs w:val="28"/>
        </w:rPr>
      </w:pPr>
      <w:r w:rsidRPr="005F4BE9">
        <w:rPr>
          <w:rFonts w:cs="Times New Roman"/>
          <w:sz w:val="28"/>
          <w:szCs w:val="28"/>
        </w:rPr>
        <w:t xml:space="preserve">- Phát triển chính quyền số và quản trị đô thị thông minh trên cơ sở đẩy mạnh chuyển đổi số; xây dựng và vận hành kho dữ liệu dùng chung của Thành phố, liên thông dữ liệu các sở, ngành, quận, huyện; ứng dụng AI, dữ liệu lớn trong điều hành, giám sát, dự báo phát triển kinh tế - xã hội, đầu tư công, giao thông, môi trường... </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Giá trị gia tăng các hoạt động chuyên môn khoa học và công nghệ đạt trên 10%/năm; Tỷ trọng kinh tế số/GRDP năm 2030 đạt từ 40% trở lên; Đóng góp của TFP vào tăng trưởng từ 60% trở lên</w:t>
      </w:r>
    </w:p>
    <w:p w:rsidR="006619CE" w:rsidRPr="005F4BE9" w:rsidRDefault="006619CE" w:rsidP="006619CE">
      <w:pPr>
        <w:pBdr>
          <w:bottom w:val="single" w:sz="4" w:space="31" w:color="FFFFFF"/>
        </w:pBdr>
        <w:spacing w:before="60" w:after="60" w:line="240" w:lineRule="auto"/>
        <w:ind w:firstLine="567"/>
        <w:jc w:val="both"/>
        <w:rPr>
          <w:rFonts w:cs="Times New Roman"/>
          <w:iCs/>
          <w:sz w:val="28"/>
          <w:szCs w:val="28"/>
        </w:rPr>
      </w:pPr>
      <w:r w:rsidRPr="005F4BE9">
        <w:rPr>
          <w:rFonts w:cs="Times New Roman"/>
          <w:i/>
          <w:iCs/>
          <w:sz w:val="28"/>
          <w:szCs w:val="28"/>
        </w:rPr>
        <w:t xml:space="preserve">b) Chủ trì tham mưu thực hiện: </w:t>
      </w:r>
      <w:r w:rsidRPr="005F4BE9">
        <w:rPr>
          <w:rFonts w:cs="Times New Roman"/>
          <w:iCs/>
          <w:sz w:val="28"/>
          <w:szCs w:val="28"/>
        </w:rPr>
        <w:t xml:space="preserve">Sở Khoa học và Công nghệ; BQL Khu công nghệ cao và khu công nghiệp Hà Nội, UBND xã, phường và các đơn vị liên quan </w:t>
      </w:r>
    </w:p>
    <w:p w:rsidR="006619CE" w:rsidRPr="005F4BE9" w:rsidRDefault="006619CE" w:rsidP="006619CE">
      <w:pPr>
        <w:pBdr>
          <w:bottom w:val="single" w:sz="4" w:space="31" w:color="FFFFFF"/>
        </w:pBdr>
        <w:spacing w:before="60" w:after="60" w:line="240" w:lineRule="auto"/>
        <w:ind w:firstLine="567"/>
        <w:jc w:val="both"/>
        <w:rPr>
          <w:rFonts w:cs="Times New Roman"/>
          <w:b/>
          <w:iCs/>
          <w:sz w:val="28"/>
          <w:szCs w:val="28"/>
        </w:rPr>
      </w:pPr>
      <w:r w:rsidRPr="005F4BE9">
        <w:rPr>
          <w:rFonts w:cs="Times New Roman"/>
          <w:b/>
          <w:iCs/>
          <w:sz w:val="28"/>
          <w:szCs w:val="28"/>
        </w:rPr>
        <w:t>9</w:t>
      </w:r>
      <w:r w:rsidR="00324A18">
        <w:rPr>
          <w:rFonts w:cs="Times New Roman"/>
          <w:b/>
          <w:iCs/>
          <w:sz w:val="28"/>
          <w:szCs w:val="28"/>
        </w:rPr>
        <w:t>.</w:t>
      </w:r>
      <w:r w:rsidRPr="005F4BE9">
        <w:rPr>
          <w:rFonts w:cs="Times New Roman"/>
          <w:b/>
          <w:iCs/>
          <w:sz w:val="28"/>
          <w:szCs w:val="28"/>
        </w:rPr>
        <w:t xml:space="preserve"> Y tế và các hoạt động hỗ trợ</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Ngành này bình quân 2021-2025 tăng (8,86%) – cao hơn mức tăng GRDP chung (6,6%); tỷ trọng tăng trong GRDP tăng lên (2020 là 3,07% nawmn 2025 tăng lên 3,86%).</w:t>
      </w:r>
    </w:p>
    <w:p w:rsidR="006619CE" w:rsidRPr="005F4BE9" w:rsidRDefault="006619CE" w:rsidP="006619CE">
      <w:pPr>
        <w:pBdr>
          <w:bottom w:val="single" w:sz="4" w:space="31" w:color="FFFFFF"/>
        </w:pBdr>
        <w:spacing w:before="60" w:after="60" w:line="240" w:lineRule="auto"/>
        <w:ind w:firstLine="567"/>
        <w:jc w:val="both"/>
        <w:rPr>
          <w:rFonts w:cs="Times New Roman"/>
          <w:i/>
          <w:iCs/>
          <w:sz w:val="28"/>
          <w:szCs w:val="28"/>
        </w:rPr>
      </w:pPr>
      <w:r w:rsidRPr="005F4BE9">
        <w:rPr>
          <w:rFonts w:cs="Times New Roman"/>
          <w:i/>
          <w:iCs/>
          <w:sz w:val="28"/>
          <w:szCs w:val="28"/>
        </w:rPr>
        <w:t>a) Mục tiêu, nhiệm vụ</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Phát triển dịch vụ y tế chất lượng cao: Xây dựng một số bệnh viện trở thành bệnh viện chuyên sâu cấp khu vực; Phát triển y tế kỹ thuật cao, chuyên sâu, y tế thông minh</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Tăng cường năng lực cho trạm y tế xã, phường; Xây dựng trạm y tế số; Bác sĩ tuyến trên hỗ trợ trực tiếp tại y tế cơ sở</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xml:space="preserve">- Phát triển du lịch y tế; khuyến khích xã hội hóa phát triển y tế tư nhân chất lượng cao; Liên kết du lịch – hàng không – khách sạn để phát triển du lịch y tế; </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Phát triển các tổ hợp kinh tế bạc; các tổ hợp y tế - nghỉ dưỡng - chăm sóc sức khỏe người cao tuổi; Thu hút khách nước ngoài đến Hà Nội sử dụng dịch vụ y tế; tăng mức chi tiêu/khách hàng</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Giá trị gia tăng ngành y tế và hoạt động trợ giúp xã hội tăng bình quân 11%/năm trở lên.</w:t>
      </w:r>
    </w:p>
    <w:p w:rsidR="006619CE" w:rsidRPr="005F4BE9" w:rsidRDefault="006619CE" w:rsidP="006619CE">
      <w:pPr>
        <w:pBdr>
          <w:bottom w:val="single" w:sz="4" w:space="31" w:color="FFFFFF"/>
        </w:pBdr>
        <w:spacing w:before="60" w:after="60" w:line="240" w:lineRule="auto"/>
        <w:ind w:firstLine="567"/>
        <w:jc w:val="both"/>
        <w:rPr>
          <w:rFonts w:cs="Times New Roman"/>
          <w:iCs/>
          <w:sz w:val="28"/>
          <w:szCs w:val="28"/>
        </w:rPr>
      </w:pPr>
      <w:r w:rsidRPr="005F4BE9">
        <w:rPr>
          <w:rFonts w:cs="Times New Roman"/>
          <w:i/>
          <w:iCs/>
          <w:sz w:val="28"/>
          <w:szCs w:val="28"/>
        </w:rPr>
        <w:lastRenderedPageBreak/>
        <w:t xml:space="preserve">b) Chủ trì tham mưu thực hiện: </w:t>
      </w:r>
      <w:r w:rsidRPr="005F4BE9">
        <w:rPr>
          <w:rFonts w:cs="Times New Roman"/>
          <w:iCs/>
          <w:sz w:val="28"/>
          <w:szCs w:val="28"/>
        </w:rPr>
        <w:t>Sở Y tế, Sở Du lịch, UBND xã, phường và các cơ quan liên quan</w:t>
      </w:r>
    </w:p>
    <w:p w:rsidR="006619CE" w:rsidRPr="005F4BE9" w:rsidRDefault="006619CE" w:rsidP="006619CE">
      <w:pPr>
        <w:pBdr>
          <w:bottom w:val="single" w:sz="4" w:space="31" w:color="FFFFFF"/>
        </w:pBdr>
        <w:spacing w:before="60" w:after="60" w:line="240" w:lineRule="auto"/>
        <w:ind w:firstLine="567"/>
        <w:jc w:val="both"/>
        <w:rPr>
          <w:rFonts w:cs="Times New Roman"/>
          <w:b/>
          <w:iCs/>
          <w:sz w:val="28"/>
          <w:szCs w:val="28"/>
        </w:rPr>
      </w:pPr>
      <w:r w:rsidRPr="005F4BE9">
        <w:rPr>
          <w:rFonts w:cs="Times New Roman"/>
          <w:b/>
          <w:iCs/>
          <w:sz w:val="28"/>
          <w:szCs w:val="28"/>
        </w:rPr>
        <w:t>10</w:t>
      </w:r>
      <w:r w:rsidR="00324A18">
        <w:rPr>
          <w:rFonts w:cs="Times New Roman"/>
          <w:b/>
          <w:iCs/>
          <w:sz w:val="28"/>
          <w:szCs w:val="28"/>
        </w:rPr>
        <w:t>.</w:t>
      </w:r>
      <w:r w:rsidRPr="005F4BE9">
        <w:rPr>
          <w:rFonts w:cs="Times New Roman"/>
          <w:b/>
          <w:iCs/>
          <w:sz w:val="28"/>
          <w:szCs w:val="28"/>
        </w:rPr>
        <w:t xml:space="preserve"> Nông, lâm nghiệp và thủy sản</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Ngành này bình quân 2021-2025 tăng 2,95%/năm – thấp hơn mức tăng GRDP chung (6,6%) nhưng cao hơn kỳ trước (2,6%). Cơ cấu ngành này trong GRDP liên tục giảm (2020 là 2,33% năm 2025 giảm còn 1,86%).</w:t>
      </w:r>
    </w:p>
    <w:p w:rsidR="006619CE" w:rsidRPr="005F4BE9" w:rsidRDefault="006619CE" w:rsidP="006619CE">
      <w:pPr>
        <w:pBdr>
          <w:bottom w:val="single" w:sz="4" w:space="31" w:color="FFFFFF"/>
        </w:pBdr>
        <w:spacing w:before="60" w:after="60" w:line="240" w:lineRule="auto"/>
        <w:ind w:firstLine="567"/>
        <w:jc w:val="both"/>
        <w:rPr>
          <w:rFonts w:cs="Times New Roman"/>
          <w:i/>
          <w:iCs/>
          <w:sz w:val="28"/>
          <w:szCs w:val="28"/>
        </w:rPr>
      </w:pPr>
      <w:r w:rsidRPr="005F4BE9">
        <w:rPr>
          <w:rFonts w:cs="Times New Roman"/>
          <w:i/>
          <w:iCs/>
          <w:sz w:val="28"/>
          <w:szCs w:val="28"/>
        </w:rPr>
        <w:t>a) Mục tiêu, nhiệm vụ</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Phát triển các vùng nông nghiệp công nghệ cao (CNC): Nhà màng, giống, hoa cây cảnh, rau sạch, thủy sản CNC, logistics lạnh, sàn phân phối…; Xây dựng, thực hiện Đề án phát triển vùng nông nghiệp CNC; mỗi vùng 200-500 ha</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Phát triển công nghiệp chế biến nông sản – thực phẩm ngoại thành rau củ, thực phẩm tươi – chế biến, sữa, thịt mát; Xây dựng 3-5 cụm chế biến nông sản, thực phẩm</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Phát triển du lịch nông thôn – làng nghề – sản phẩm OCOP chất lượng cao; Liên kết mỗi cụm 5-7 xã có 1-2 tuyến du lịch nông thôn; “Mỗi làng một sản phẩm” gắn tiêu chuẩn và thương hiệu</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Giá trị gia tăng ngành nông, lâm, thủy sản tăng bình quân 4%/năm.</w:t>
      </w:r>
    </w:p>
    <w:p w:rsidR="006619CE" w:rsidRPr="005F4BE9" w:rsidRDefault="006619CE" w:rsidP="006619CE">
      <w:pPr>
        <w:pBdr>
          <w:bottom w:val="single" w:sz="4" w:space="31" w:color="FFFFFF"/>
        </w:pBdr>
        <w:spacing w:before="60" w:after="60" w:line="240" w:lineRule="auto"/>
        <w:ind w:firstLine="567"/>
        <w:jc w:val="both"/>
        <w:rPr>
          <w:rFonts w:cs="Times New Roman"/>
          <w:iCs/>
          <w:sz w:val="28"/>
          <w:szCs w:val="28"/>
        </w:rPr>
      </w:pPr>
      <w:r w:rsidRPr="005F4BE9">
        <w:rPr>
          <w:rFonts w:cs="Times New Roman"/>
          <w:i/>
          <w:iCs/>
          <w:sz w:val="28"/>
          <w:szCs w:val="28"/>
        </w:rPr>
        <w:t xml:space="preserve">b) Chủ trì tham mưu thực hiện: </w:t>
      </w:r>
      <w:r w:rsidRPr="005F4BE9">
        <w:rPr>
          <w:rFonts w:cs="Times New Roman"/>
          <w:iCs/>
          <w:sz w:val="28"/>
          <w:szCs w:val="28"/>
        </w:rPr>
        <w:t>Sở Nông nghiệp và Môi trường; UBND các xã và các đơn vị có liên quan</w:t>
      </w:r>
    </w:p>
    <w:p w:rsidR="006619CE" w:rsidRPr="005F4BE9" w:rsidRDefault="006619CE" w:rsidP="006619CE">
      <w:pPr>
        <w:pBdr>
          <w:bottom w:val="single" w:sz="4" w:space="31" w:color="FFFFFF"/>
        </w:pBdr>
        <w:spacing w:before="60" w:after="60" w:line="240" w:lineRule="auto"/>
        <w:ind w:firstLine="567"/>
        <w:jc w:val="both"/>
        <w:rPr>
          <w:rFonts w:cs="Times New Roman"/>
          <w:b/>
          <w:iCs/>
          <w:sz w:val="28"/>
          <w:szCs w:val="28"/>
        </w:rPr>
      </w:pPr>
      <w:r w:rsidRPr="005F4BE9">
        <w:rPr>
          <w:rFonts w:cs="Times New Roman"/>
          <w:b/>
          <w:iCs/>
          <w:sz w:val="28"/>
          <w:szCs w:val="28"/>
        </w:rPr>
        <w:t>1</w:t>
      </w:r>
      <w:r w:rsidR="005F4BE9" w:rsidRPr="005F4BE9">
        <w:rPr>
          <w:rFonts w:cs="Times New Roman"/>
          <w:b/>
          <w:iCs/>
          <w:sz w:val="28"/>
          <w:szCs w:val="28"/>
        </w:rPr>
        <w:t>1</w:t>
      </w:r>
      <w:r w:rsidR="00324A18">
        <w:rPr>
          <w:rFonts w:cs="Times New Roman"/>
          <w:b/>
          <w:iCs/>
          <w:sz w:val="28"/>
          <w:szCs w:val="28"/>
        </w:rPr>
        <w:t>.</w:t>
      </w:r>
      <w:r w:rsidRPr="005F4BE9">
        <w:rPr>
          <w:rFonts w:cs="Times New Roman"/>
          <w:b/>
          <w:iCs/>
          <w:sz w:val="28"/>
          <w:szCs w:val="28"/>
        </w:rPr>
        <w:t xml:space="preserve"> </w:t>
      </w:r>
      <w:r w:rsidR="005F4BE9" w:rsidRPr="005F4BE9">
        <w:rPr>
          <w:rFonts w:cs="Times New Roman"/>
          <w:b/>
          <w:iCs/>
          <w:sz w:val="28"/>
          <w:szCs w:val="28"/>
        </w:rPr>
        <w:t xml:space="preserve">Nhiệm vụ của các </w:t>
      </w:r>
      <w:r w:rsidRPr="005F4BE9">
        <w:rPr>
          <w:rFonts w:cs="Times New Roman"/>
          <w:b/>
          <w:iCs/>
          <w:sz w:val="28"/>
          <w:szCs w:val="28"/>
        </w:rPr>
        <w:t xml:space="preserve">xã, phường </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UBND xã, phường xây dựng Đề án phát triển kinh tế gắn với khai thác các động lực tăng trưởng từ mô hình Chính quyền địa phương 02 cấp; phân tích điểm mạnh, điểm yếu, cơ hội và thách thức của địa phương, trên cơ sở đó có giải pháp khắc phục điểm yếu, vượt qua thách thức, đồng thời phát huy điểm mạnh, tận dụng cơ hội để thúc đẩy tăng trưởng kinh tế.</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xml:space="preserve">Các xã, phường căn cứ không gian </w:t>
      </w:r>
      <w:r w:rsidR="00515B6F" w:rsidRPr="005F4BE9">
        <w:rPr>
          <w:rFonts w:cs="Times New Roman"/>
          <w:sz w:val="28"/>
          <w:szCs w:val="28"/>
        </w:rPr>
        <w:t>Quy hoạch tổng thể Thủ đô tầm nhìn 100 năm với định hướng phát triển các chùm đô thị đa cực, đa trung tâm, đa tầng, đa lớp, đa mục tiêu (Thành phố đang xây dựng)</w:t>
      </w:r>
      <w:r w:rsidRPr="005F4BE9">
        <w:rPr>
          <w:rFonts w:cs="Times New Roman"/>
          <w:sz w:val="28"/>
          <w:szCs w:val="28"/>
        </w:rPr>
        <w:t>, tận dụng cơ hội để xây dựng Đề án phát triển kinh tế địa phương mình; khai thác tối đa dư địa phát triển và sự khác biệt, nổi trội mang lại lợi thế cạnh tranh; khai thác sâu và triệt để bản sắc văn hóa của địa phương, các mô hình kinh tế mới, thu hút sự tham gia của nhiều thành phần kinh tế (Kinh tế đêm, Kinh tế tuần hoàn, Kinh tế chia sẻ, Kinh tế xanh, Kinh tế số, Kinh tế bạc…), theo đó:</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xml:space="preserve">a) Mỗi xã/phường </w:t>
      </w:r>
      <w:r w:rsidRPr="005F4BE9">
        <w:rPr>
          <w:rFonts w:cs="Times New Roman"/>
          <w:i/>
          <w:sz w:val="28"/>
          <w:szCs w:val="28"/>
        </w:rPr>
        <w:t>lựa chọn 3-5 lĩnh vực làm động lực tăng trưởng trọng tâm</w:t>
      </w:r>
      <w:r w:rsidRPr="005F4BE9">
        <w:rPr>
          <w:rFonts w:cs="Times New Roman"/>
          <w:sz w:val="28"/>
          <w:szCs w:val="28"/>
        </w:rPr>
        <w:t xml:space="preserve">, ví dụ như: </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Dịch vụ đô thị - Thương mại - Kinh tế đêm (tuyến phố, chợ, trung tâm dịch vụ)</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Kinh tế số cấp cơ sở (đưa sản phẩm lên sàn thương mại điện tử, thanh toán số, hóa đơn điện tử…)</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Cụm sản xuất/làng nghề - Công nghiệp hỗ trợ (chuẩn hóa về môi trường, có nhãn hiệu, truy xuất nguồn gốc)</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lastRenderedPageBreak/>
        <w:t>- Du lịch văn hóa – sáng tạo (gắn với di tích, làng nghề, khu ẩm thực, trải nghiệm)</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Nông nghiệp sinh thái/sản phẩm OCOP (gắn với vùng ven đô, chuỗi cung ứng)</w:t>
      </w:r>
    </w:p>
    <w:p w:rsidR="006619CE" w:rsidRPr="005F4BE9" w:rsidRDefault="006619CE" w:rsidP="006619CE">
      <w:pPr>
        <w:pBdr>
          <w:bottom w:val="single" w:sz="4" w:space="31" w:color="FFFFFF"/>
        </w:pBdr>
        <w:spacing w:before="60" w:after="60" w:line="240" w:lineRule="auto"/>
        <w:ind w:firstLine="567"/>
        <w:jc w:val="both"/>
        <w:rPr>
          <w:rFonts w:cs="Times New Roman"/>
          <w:i/>
          <w:sz w:val="28"/>
          <w:szCs w:val="28"/>
        </w:rPr>
      </w:pPr>
      <w:r w:rsidRPr="005F4BE9">
        <w:rPr>
          <w:rFonts w:cs="Times New Roman"/>
          <w:i/>
          <w:sz w:val="28"/>
          <w:szCs w:val="28"/>
        </w:rPr>
        <w:t>b) Rà soát các nguồn lực:</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Quỹ đất có thể khai thác hợp pháp, mặt bằng sản xuất, cụm công nghiệp, làng nghề, tuyến phố thương mại, điểm du lịch văn hóa, hạ tầng số.</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Lập danh mục dự án còn khó khăn, vướng mắc để tập trung tháo gỡ, khơi thông nguồn lực (về GPMB, thủ tục hồ sơ, giấy tờ, quy hoạch,…).</w:t>
      </w:r>
    </w:p>
    <w:p w:rsidR="006619CE" w:rsidRPr="005F4BE9" w:rsidRDefault="006619CE" w:rsidP="006619CE">
      <w:pPr>
        <w:pBdr>
          <w:bottom w:val="single" w:sz="4" w:space="31" w:color="FFFFFF"/>
        </w:pBdr>
        <w:spacing w:before="60" w:after="60" w:line="240" w:lineRule="auto"/>
        <w:ind w:firstLine="567"/>
        <w:jc w:val="both"/>
        <w:rPr>
          <w:rFonts w:cs="Times New Roman"/>
          <w:i/>
          <w:sz w:val="28"/>
          <w:szCs w:val="28"/>
        </w:rPr>
      </w:pPr>
      <w:r w:rsidRPr="005F4BE9">
        <w:rPr>
          <w:rFonts w:cs="Times New Roman"/>
          <w:i/>
          <w:sz w:val="28"/>
          <w:szCs w:val="28"/>
        </w:rPr>
        <w:t xml:space="preserve">c) Xây dựng danh mục Dự án để triển khai ngay: </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Mỗi xã/phường xây dựng danh mục tối thiểu 10 dự án/nhóm việc quy mô nhỏ nhưng có thể triển khai ngay gắn với hạch toán hiệu quả: chỉnh trang tuyến phố thương mại, bãi đỗ xe tạm, cải tạo chợ, điểm check-in du lịch, số hóa hộ kinh doanh, hỗ trợ đăng ký doanh nghiệp…</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Phân loại: Dự án ngân sách; dự án xã hội hóa; dự án PPP, từ đó xác định rõ dự án cần làm để dẫn dắt phát triển.</w:t>
      </w:r>
    </w:p>
    <w:p w:rsidR="006619CE" w:rsidRPr="005F4BE9" w:rsidRDefault="006619CE" w:rsidP="006619CE">
      <w:pPr>
        <w:pBdr>
          <w:bottom w:val="single" w:sz="4" w:space="31" w:color="FFFFFF"/>
        </w:pBdr>
        <w:spacing w:before="60" w:after="60" w:line="240" w:lineRule="auto"/>
        <w:ind w:firstLine="567"/>
        <w:jc w:val="both"/>
        <w:rPr>
          <w:rFonts w:cs="Times New Roman"/>
          <w:i/>
          <w:sz w:val="28"/>
          <w:szCs w:val="28"/>
        </w:rPr>
      </w:pPr>
      <w:r w:rsidRPr="005F4BE9">
        <w:rPr>
          <w:rFonts w:cs="Times New Roman"/>
          <w:i/>
          <w:sz w:val="28"/>
          <w:szCs w:val="28"/>
        </w:rPr>
        <w:t>d) Xây dựng hệ thống chỉ tiêu KPI của xã/phường, ví dụ:</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Thu ngân sách trên địa bàn.</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Doanh thu thương mại – dịch vụ trên địa bàn</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Tỷ lệ thanh toán không tiền mặt</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-Tỷ lệ hồ sơ giải quyết đúng hạn, mức độ hài lòng của người sử dụng dịch vụ</w:t>
      </w:r>
    </w:p>
    <w:p w:rsidR="006619CE" w:rsidRPr="005F4BE9" w:rsidRDefault="006619CE" w:rsidP="006619CE">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Đánh giá đóng góp của xã/phường vào tổng chung của toàn Thành phố.</w:t>
      </w:r>
    </w:p>
    <w:p w:rsidR="00515B6F" w:rsidRPr="005F4BE9" w:rsidRDefault="00515B6F" w:rsidP="00515B6F">
      <w:pPr>
        <w:pBdr>
          <w:bottom w:val="single" w:sz="4" w:space="31" w:color="FFFFFF"/>
        </w:pBdr>
        <w:spacing w:before="60" w:after="60" w:line="240" w:lineRule="auto"/>
        <w:ind w:firstLine="567"/>
        <w:jc w:val="both"/>
        <w:rPr>
          <w:rFonts w:cs="Times New Roman"/>
          <w:sz w:val="28"/>
          <w:szCs w:val="28"/>
        </w:rPr>
      </w:pPr>
      <w:r w:rsidRPr="005F4BE9">
        <w:rPr>
          <w:rFonts w:cs="Times New Roman"/>
          <w:sz w:val="28"/>
          <w:szCs w:val="28"/>
        </w:rPr>
        <w:t xml:space="preserve">- </w:t>
      </w:r>
      <w:r w:rsidR="005F4BE9" w:rsidRPr="005F4BE9">
        <w:rPr>
          <w:rFonts w:cs="Times New Roman"/>
          <w:sz w:val="28"/>
          <w:szCs w:val="28"/>
        </w:rPr>
        <w:t>Hoàn thành chỉ</w:t>
      </w:r>
      <w:r w:rsidRPr="005F4BE9">
        <w:rPr>
          <w:rFonts w:cs="Times New Roman"/>
          <w:sz w:val="28"/>
          <w:szCs w:val="28"/>
        </w:rPr>
        <w:t xml:space="preserve"> tiêu tăng trưởng của xã, phường </w:t>
      </w:r>
      <w:r w:rsidR="005F4BE9" w:rsidRPr="005F4BE9">
        <w:rPr>
          <w:rFonts w:cs="Times New Roman"/>
          <w:sz w:val="28"/>
          <w:szCs w:val="28"/>
        </w:rPr>
        <w:t>được giao tại Quyết định số 6333/QĐ-UBND ngày 19/12/2025./</w:t>
      </w:r>
      <w:r w:rsidRPr="005F4BE9">
        <w:rPr>
          <w:rFonts w:cs="Times New Roman"/>
          <w:sz w:val="28"/>
          <w:szCs w:val="28"/>
        </w:rPr>
        <w:t xml:space="preserve">. </w:t>
      </w:r>
    </w:p>
    <w:p w:rsidR="00054799" w:rsidRPr="005F4BE9" w:rsidRDefault="00054799" w:rsidP="00054799">
      <w:pPr>
        <w:pBdr>
          <w:bottom w:val="single" w:sz="4" w:space="31" w:color="FFFFFF"/>
        </w:pBdr>
        <w:spacing w:before="60" w:after="60" w:line="240" w:lineRule="auto"/>
        <w:ind w:firstLine="567"/>
        <w:jc w:val="both"/>
        <w:rPr>
          <w:rFonts w:eastAsia="SimSun"/>
          <w:i/>
          <w:iCs/>
          <w:sz w:val="28"/>
          <w:szCs w:val="28"/>
          <w:lang w:val="de-DE"/>
        </w:rPr>
      </w:pPr>
    </w:p>
    <w:p w:rsidR="00754AD2" w:rsidRPr="005F4BE9" w:rsidRDefault="00754AD2" w:rsidP="00054799">
      <w:pPr>
        <w:pBdr>
          <w:bottom w:val="single" w:sz="4" w:space="31" w:color="FFFFFF"/>
        </w:pBdr>
        <w:spacing w:before="60" w:after="60" w:line="240" w:lineRule="auto"/>
        <w:ind w:firstLine="567"/>
        <w:jc w:val="both"/>
        <w:rPr>
          <w:rFonts w:cs="Times New Roman"/>
          <w:sz w:val="28"/>
          <w:szCs w:val="28"/>
        </w:rPr>
      </w:pPr>
    </w:p>
    <w:sectPr w:rsidR="00754AD2" w:rsidRPr="005F4BE9" w:rsidSect="003A381D">
      <w:headerReference w:type="default" r:id="rId8"/>
      <w:pgSz w:w="11907" w:h="16840" w:code="9"/>
      <w:pgMar w:top="851" w:right="851"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266C" w:rsidRDefault="004A266C" w:rsidP="00F634D9">
      <w:pPr>
        <w:spacing w:after="0" w:line="240" w:lineRule="auto"/>
      </w:pPr>
      <w:r>
        <w:separator/>
      </w:r>
    </w:p>
  </w:endnote>
  <w:endnote w:type="continuationSeparator" w:id="0">
    <w:p w:rsidR="004A266C" w:rsidRDefault="004A266C" w:rsidP="00F63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266C" w:rsidRDefault="004A266C" w:rsidP="00F634D9">
      <w:pPr>
        <w:spacing w:after="0" w:line="240" w:lineRule="auto"/>
      </w:pPr>
      <w:r>
        <w:separator/>
      </w:r>
    </w:p>
  </w:footnote>
  <w:footnote w:type="continuationSeparator" w:id="0">
    <w:p w:rsidR="004A266C" w:rsidRDefault="004A266C" w:rsidP="00F63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662035"/>
      <w:docPartObj>
        <w:docPartGallery w:val="Page Numbers (Top of Page)"/>
        <w:docPartUnique/>
      </w:docPartObj>
    </w:sdtPr>
    <w:sdtEndPr>
      <w:rPr>
        <w:noProof/>
      </w:rPr>
    </w:sdtEndPr>
    <w:sdtContent>
      <w:p w:rsidR="00754AD2" w:rsidRDefault="00754AD2">
        <w:pPr>
          <w:pStyle w:val="Header"/>
          <w:jc w:val="center"/>
        </w:pPr>
        <w:r w:rsidRPr="00512F18">
          <w:fldChar w:fldCharType="begin"/>
        </w:r>
        <w:r w:rsidRPr="00512F18">
          <w:instrText xml:space="preserve"> PAGE   \* MERGEFORMAT </w:instrText>
        </w:r>
        <w:r w:rsidRPr="00512F18">
          <w:fldChar w:fldCharType="separate"/>
        </w:r>
        <w:r w:rsidR="005F4BE9">
          <w:rPr>
            <w:noProof/>
          </w:rPr>
          <w:t>6</w:t>
        </w:r>
        <w:r w:rsidRPr="00512F18">
          <w:rPr>
            <w:noProof/>
          </w:rPr>
          <w:fldChar w:fldCharType="end"/>
        </w:r>
      </w:p>
    </w:sdtContent>
  </w:sdt>
  <w:p w:rsidR="00754AD2" w:rsidRDefault="00754A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D1433E"/>
    <w:multiLevelType w:val="multilevel"/>
    <w:tmpl w:val="CD409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DA0226"/>
    <w:multiLevelType w:val="multilevel"/>
    <w:tmpl w:val="1B96A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5A21C6"/>
    <w:multiLevelType w:val="multilevel"/>
    <w:tmpl w:val="B686C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CE6A0B"/>
    <w:multiLevelType w:val="multilevel"/>
    <w:tmpl w:val="ECD68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34428B"/>
    <w:multiLevelType w:val="hybridMultilevel"/>
    <w:tmpl w:val="37ECA5DC"/>
    <w:lvl w:ilvl="0" w:tplc="B71050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5D205B"/>
    <w:multiLevelType w:val="multilevel"/>
    <w:tmpl w:val="E364F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DA4FD8"/>
    <w:multiLevelType w:val="hybridMultilevel"/>
    <w:tmpl w:val="9C5AAB5E"/>
    <w:lvl w:ilvl="0" w:tplc="48AC6718">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4C86AE5"/>
    <w:multiLevelType w:val="multilevel"/>
    <w:tmpl w:val="3F5AC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2E0451"/>
    <w:multiLevelType w:val="multilevel"/>
    <w:tmpl w:val="75A46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2B7BEC"/>
    <w:multiLevelType w:val="multilevel"/>
    <w:tmpl w:val="9C96B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223B58"/>
    <w:multiLevelType w:val="multilevel"/>
    <w:tmpl w:val="CA20E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6E57EE"/>
    <w:multiLevelType w:val="multilevel"/>
    <w:tmpl w:val="40F43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78049E"/>
    <w:multiLevelType w:val="multilevel"/>
    <w:tmpl w:val="97E24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630003"/>
    <w:multiLevelType w:val="multilevel"/>
    <w:tmpl w:val="60F86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FA3FE5"/>
    <w:multiLevelType w:val="multilevel"/>
    <w:tmpl w:val="E7928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3788777">
    <w:abstractNumId w:val="8"/>
  </w:num>
  <w:num w:numId="2" w16cid:durableId="1181118076">
    <w:abstractNumId w:val="6"/>
  </w:num>
  <w:num w:numId="3" w16cid:durableId="1035621399">
    <w:abstractNumId w:val="5"/>
  </w:num>
  <w:num w:numId="4" w16cid:durableId="857542911">
    <w:abstractNumId w:val="7"/>
  </w:num>
  <w:num w:numId="5" w16cid:durableId="1201750076">
    <w:abstractNumId w:val="3"/>
  </w:num>
  <w:num w:numId="6" w16cid:durableId="559290013">
    <w:abstractNumId w:val="2"/>
  </w:num>
  <w:num w:numId="7" w16cid:durableId="1520509700">
    <w:abstractNumId w:val="21"/>
  </w:num>
  <w:num w:numId="8" w16cid:durableId="123236003">
    <w:abstractNumId w:val="23"/>
  </w:num>
  <w:num w:numId="9" w16cid:durableId="1143085370">
    <w:abstractNumId w:val="18"/>
  </w:num>
  <w:num w:numId="10" w16cid:durableId="955212227">
    <w:abstractNumId w:val="20"/>
  </w:num>
  <w:num w:numId="11" w16cid:durableId="1195188162">
    <w:abstractNumId w:val="16"/>
  </w:num>
  <w:num w:numId="12" w16cid:durableId="977415466">
    <w:abstractNumId w:val="14"/>
  </w:num>
  <w:num w:numId="13" w16cid:durableId="780690122">
    <w:abstractNumId w:val="10"/>
  </w:num>
  <w:num w:numId="14" w16cid:durableId="1622224139">
    <w:abstractNumId w:val="19"/>
  </w:num>
  <w:num w:numId="15" w16cid:durableId="1892762324">
    <w:abstractNumId w:val="13"/>
  </w:num>
  <w:num w:numId="16" w16cid:durableId="198132642">
    <w:abstractNumId w:val="15"/>
  </w:num>
  <w:num w:numId="17" w16cid:durableId="1805467798">
    <w:abstractNumId w:val="4"/>
  </w:num>
  <w:num w:numId="18" w16cid:durableId="242643035">
    <w:abstractNumId w:val="1"/>
  </w:num>
  <w:num w:numId="19" w16cid:durableId="49695328">
    <w:abstractNumId w:val="0"/>
  </w:num>
  <w:num w:numId="20" w16cid:durableId="1284653240">
    <w:abstractNumId w:val="17"/>
  </w:num>
  <w:num w:numId="21" w16cid:durableId="2091150388">
    <w:abstractNumId w:val="12"/>
  </w:num>
  <w:num w:numId="22" w16cid:durableId="1770008542">
    <w:abstractNumId w:val="9"/>
  </w:num>
  <w:num w:numId="23" w16cid:durableId="162818886">
    <w:abstractNumId w:val="22"/>
  </w:num>
  <w:num w:numId="24" w16cid:durableId="1528375114">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5C0"/>
    <w:rsid w:val="00006375"/>
    <w:rsid w:val="00034616"/>
    <w:rsid w:val="00054799"/>
    <w:rsid w:val="00055F77"/>
    <w:rsid w:val="0006063C"/>
    <w:rsid w:val="00072204"/>
    <w:rsid w:val="000813E7"/>
    <w:rsid w:val="000E0AD5"/>
    <w:rsid w:val="00125BE9"/>
    <w:rsid w:val="00142A59"/>
    <w:rsid w:val="0015074B"/>
    <w:rsid w:val="0016476B"/>
    <w:rsid w:val="0016653A"/>
    <w:rsid w:val="00190C2D"/>
    <w:rsid w:val="001B03C5"/>
    <w:rsid w:val="001C5B53"/>
    <w:rsid w:val="001D62A3"/>
    <w:rsid w:val="0024570A"/>
    <w:rsid w:val="0029639D"/>
    <w:rsid w:val="002D7D1E"/>
    <w:rsid w:val="00322CE4"/>
    <w:rsid w:val="00324A18"/>
    <w:rsid w:val="00326F90"/>
    <w:rsid w:val="003404F8"/>
    <w:rsid w:val="003A381D"/>
    <w:rsid w:val="003B2CB1"/>
    <w:rsid w:val="003C6FB8"/>
    <w:rsid w:val="003E11D4"/>
    <w:rsid w:val="00403F09"/>
    <w:rsid w:val="0040702C"/>
    <w:rsid w:val="00414298"/>
    <w:rsid w:val="00437CA9"/>
    <w:rsid w:val="004602E5"/>
    <w:rsid w:val="00472413"/>
    <w:rsid w:val="00486820"/>
    <w:rsid w:val="004871FF"/>
    <w:rsid w:val="004A266C"/>
    <w:rsid w:val="0051467D"/>
    <w:rsid w:val="00515B6F"/>
    <w:rsid w:val="005576C5"/>
    <w:rsid w:val="00561CE4"/>
    <w:rsid w:val="005A2889"/>
    <w:rsid w:val="005C4756"/>
    <w:rsid w:val="005F4BE9"/>
    <w:rsid w:val="00632AC7"/>
    <w:rsid w:val="00640E0C"/>
    <w:rsid w:val="006477D2"/>
    <w:rsid w:val="006619CE"/>
    <w:rsid w:val="006646FC"/>
    <w:rsid w:val="006B2E3C"/>
    <w:rsid w:val="006B3B37"/>
    <w:rsid w:val="006D7437"/>
    <w:rsid w:val="006F18ED"/>
    <w:rsid w:val="007077A6"/>
    <w:rsid w:val="007212E1"/>
    <w:rsid w:val="00732839"/>
    <w:rsid w:val="00737813"/>
    <w:rsid w:val="00754AD2"/>
    <w:rsid w:val="00755670"/>
    <w:rsid w:val="0079079C"/>
    <w:rsid w:val="008A54B6"/>
    <w:rsid w:val="008A7D4C"/>
    <w:rsid w:val="008D2083"/>
    <w:rsid w:val="008F259A"/>
    <w:rsid w:val="00930287"/>
    <w:rsid w:val="00950667"/>
    <w:rsid w:val="00985187"/>
    <w:rsid w:val="00A3094F"/>
    <w:rsid w:val="00A950C1"/>
    <w:rsid w:val="00AA1D8D"/>
    <w:rsid w:val="00AA36AB"/>
    <w:rsid w:val="00AF32D0"/>
    <w:rsid w:val="00AF58B9"/>
    <w:rsid w:val="00B07806"/>
    <w:rsid w:val="00B14CB0"/>
    <w:rsid w:val="00B47730"/>
    <w:rsid w:val="00B47BA0"/>
    <w:rsid w:val="00B510DC"/>
    <w:rsid w:val="00B52D0E"/>
    <w:rsid w:val="00B56D04"/>
    <w:rsid w:val="00B9711C"/>
    <w:rsid w:val="00BA2849"/>
    <w:rsid w:val="00BB5CF1"/>
    <w:rsid w:val="00C54716"/>
    <w:rsid w:val="00C93528"/>
    <w:rsid w:val="00CB0664"/>
    <w:rsid w:val="00CB53E4"/>
    <w:rsid w:val="00CE0373"/>
    <w:rsid w:val="00D33F1A"/>
    <w:rsid w:val="00D87F48"/>
    <w:rsid w:val="00D975D1"/>
    <w:rsid w:val="00DB6E5A"/>
    <w:rsid w:val="00DD093D"/>
    <w:rsid w:val="00DF1076"/>
    <w:rsid w:val="00E16B68"/>
    <w:rsid w:val="00E21555"/>
    <w:rsid w:val="00E347D5"/>
    <w:rsid w:val="00E43AD4"/>
    <w:rsid w:val="00E937B5"/>
    <w:rsid w:val="00EC59AE"/>
    <w:rsid w:val="00EE51C3"/>
    <w:rsid w:val="00F00157"/>
    <w:rsid w:val="00F634D9"/>
    <w:rsid w:val="00F84EDE"/>
    <w:rsid w:val="00FA18E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D40FCF"/>
  <w14:defaultImageDpi w14:val="300"/>
  <w15:docId w15:val="{D2F44046-32B2-4950-9CCA-03C1F958C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7 List Paragraph,6 List Paragraph,List Paragraph (numbered (a)),ANNEX,List Paragraph2,List Paragraph12,ADB List Paragraph,ADB paragraph numbering,bullet,Bulltes Normal,AusAID List Paragraph,Heading 41,Gạch đầu dòng,ko,Sub-heading,bullet 1"/>
    <w:basedOn w:val="Normal"/>
    <w:link w:val="ListParagraphChar"/>
    <w:uiPriority w:val="1"/>
    <w:qFormat/>
    <w:rsid w:val="00FC693F"/>
    <w:pPr>
      <w:ind w:left="720"/>
      <w:contextualSpacing/>
    </w:pPr>
  </w:style>
  <w:style w:type="paragraph" w:styleId="BodyText">
    <w:name w:val="Body Text"/>
    <w:basedOn w:val="Normal"/>
    <w:link w:val="BodyTextChar"/>
    <w:unhideWhenUsed/>
    <w:rsid w:val="00AA1D8D"/>
    <w:pPr>
      <w:spacing w:after="120"/>
    </w:pPr>
  </w:style>
  <w:style w:type="character" w:customStyle="1" w:styleId="BodyTextChar">
    <w:name w:val="Body Text Char"/>
    <w:basedOn w:val="DefaultParagraphFont"/>
    <w:link w:val="BodyText"/>
    <w:rsid w:val="00AA1D8D"/>
  </w:style>
  <w:style w:type="paragraph" w:styleId="BodyText2">
    <w:name w:val="Body Text 2"/>
    <w:basedOn w:val="Normal"/>
    <w:link w:val="BodyText2Char"/>
    <w:unhideWhenUsed/>
    <w:rsid w:val="00AA1D8D"/>
    <w:pPr>
      <w:spacing w:after="120" w:line="480" w:lineRule="auto"/>
    </w:pPr>
  </w:style>
  <w:style w:type="character" w:customStyle="1" w:styleId="BodyText2Char">
    <w:name w:val="Body Text 2 Char"/>
    <w:basedOn w:val="DefaultParagraphFont"/>
    <w:link w:val="BodyText2"/>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aliases w:val=" Char Char Char,Normal (Web) Char Char Char Char Char,Обычный (веб)1,Обычный (веб) Знак,Обычный (веб) Знак1,Обычный (веб) Знак Знак, Char Char,Char Char Char Char Char Char Char Char Char Char Char Char Char Char Char,Char Cha,Char Ch,webb"/>
    <w:basedOn w:val="Normal"/>
    <w:link w:val="NormalWebChar"/>
    <w:uiPriority w:val="99"/>
    <w:unhideWhenUsed/>
    <w:qFormat/>
    <w:rsid w:val="008A7D4C"/>
    <w:pPr>
      <w:spacing w:before="100" w:beforeAutospacing="1" w:after="100" w:afterAutospacing="1" w:line="240" w:lineRule="auto"/>
    </w:pPr>
    <w:rPr>
      <w:rFonts w:cs="Times New Roman"/>
      <w:sz w:val="24"/>
      <w:szCs w:val="24"/>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footnote text"/>
    <w:basedOn w:val="Normal"/>
    <w:link w:val="FootnoteTextChar"/>
    <w:unhideWhenUsed/>
    <w:qFormat/>
    <w:rsid w:val="008A54B6"/>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qFormat/>
    <w:rsid w:val="008A54B6"/>
    <w:rPr>
      <w:rFonts w:ascii="Times New Roman" w:eastAsia="Times New Roman" w:hAnsi="Times New Roman"/>
      <w:sz w:val="20"/>
      <w:szCs w:val="20"/>
    </w:rPr>
  </w:style>
  <w:style w:type="character" w:styleId="FootnoteReference">
    <w:name w:val="footnote reference"/>
    <w:aliases w:val="Footnote,ftref,fr,16 Point,Superscript 6 Point,Footnote text,(NECG) Footnote Reference,Footnote + Arial,10 pt,Black,SUPERS,Footnote dich, BVI fnr,footnote ref,BearingPoint,Footnote Text1,Ref,de nota al pie,Footnote Text11,BVI fnr,f,R"/>
    <w:basedOn w:val="DefaultParagraphFont"/>
    <w:link w:val="FootnotetextCharCharCharCharCharCharCharChar"/>
    <w:unhideWhenUsed/>
    <w:qFormat/>
    <w:rsid w:val="008A54B6"/>
    <w:rPr>
      <w:vertAlign w:val="superscript"/>
    </w:rPr>
  </w:style>
  <w:style w:type="paragraph" w:styleId="BalloonText">
    <w:name w:val="Balloon Text"/>
    <w:basedOn w:val="Normal"/>
    <w:link w:val="BalloonTextChar"/>
    <w:uiPriority w:val="99"/>
    <w:semiHidden/>
    <w:unhideWhenUsed/>
    <w:rsid w:val="002D7D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D1E"/>
    <w:rPr>
      <w:rFonts w:ascii="Tahoma" w:eastAsia="Times New Roman" w:hAnsi="Tahoma" w:cs="Tahoma"/>
      <w:sz w:val="16"/>
      <w:szCs w:val="16"/>
    </w:rPr>
  </w:style>
  <w:style w:type="paragraph" w:styleId="z-TopofForm">
    <w:name w:val="HTML Top of Form"/>
    <w:basedOn w:val="Normal"/>
    <w:next w:val="Normal"/>
    <w:link w:val="z-TopofFormChar"/>
    <w:hidden/>
    <w:uiPriority w:val="99"/>
    <w:semiHidden/>
    <w:unhideWhenUsed/>
    <w:rsid w:val="004871FF"/>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871F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871FF"/>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871FF"/>
    <w:rPr>
      <w:rFonts w:ascii="Arial" w:eastAsia="Times New Roman" w:hAnsi="Arial" w:cs="Arial"/>
      <w:vanish/>
      <w:sz w:val="16"/>
      <w:szCs w:val="16"/>
    </w:rPr>
  </w:style>
  <w:style w:type="character" w:customStyle="1" w:styleId="NormalWebChar">
    <w:name w:val="Normal (Web) Char"/>
    <w:aliases w:val=" Char Char Char Char,Normal (Web) Char Char Char Char Char Char,Обычный (веб)1 Char,Обычный (веб) Знак Char,Обычный (веб) Знак1 Char,Обычный (веб) Знак Знак Char, Char Char Char1,Char Cha Char,Char Ch Char,webb Char"/>
    <w:link w:val="NormalWeb"/>
    <w:uiPriority w:val="99"/>
    <w:qFormat/>
    <w:locked/>
    <w:rsid w:val="00754AD2"/>
    <w:rPr>
      <w:rFonts w:ascii="Times New Roman" w:eastAsia="Times New Roman" w:hAnsi="Times New Roman" w:cs="Times New Roman"/>
      <w:sz w:val="24"/>
      <w:szCs w:val="24"/>
    </w:rPr>
  </w:style>
  <w:style w:type="character" w:styleId="Hyperlink">
    <w:name w:val="Hyperlink"/>
    <w:uiPriority w:val="99"/>
    <w:rsid w:val="00754AD2"/>
    <w:rPr>
      <w:color w:val="0000FF"/>
      <w:u w:val="single"/>
    </w:rPr>
  </w:style>
  <w:style w:type="paragraph" w:styleId="BodyTextIndent">
    <w:name w:val="Body Text Indent"/>
    <w:basedOn w:val="Normal"/>
    <w:link w:val="BodyTextIndentChar"/>
    <w:uiPriority w:val="99"/>
    <w:semiHidden/>
    <w:unhideWhenUsed/>
    <w:rsid w:val="00754AD2"/>
    <w:pPr>
      <w:spacing w:after="120" w:line="240" w:lineRule="auto"/>
      <w:ind w:left="360"/>
    </w:pPr>
    <w:rPr>
      <w:rFonts w:ascii=".VnTime" w:hAnsi=".VnTime" w:cs="Times New Roman"/>
      <w:sz w:val="24"/>
      <w:szCs w:val="20"/>
    </w:rPr>
  </w:style>
  <w:style w:type="character" w:customStyle="1" w:styleId="BodyTextIndentChar">
    <w:name w:val="Body Text Indent Char"/>
    <w:basedOn w:val="DefaultParagraphFont"/>
    <w:link w:val="BodyTextIndent"/>
    <w:uiPriority w:val="99"/>
    <w:semiHidden/>
    <w:rsid w:val="00754AD2"/>
    <w:rPr>
      <w:rFonts w:ascii=".VnTime" w:eastAsia="Times New Roman" w:hAnsi=".VnTime" w:cs="Times New Roman"/>
      <w:sz w:val="24"/>
      <w:szCs w:val="20"/>
    </w:rPr>
  </w:style>
  <w:style w:type="paragraph" w:styleId="BodyTextFirstIndent2">
    <w:name w:val="Body Text First Indent 2"/>
    <w:basedOn w:val="BodyTextIndent"/>
    <w:link w:val="BodyTextFirstIndent2Char"/>
    <w:uiPriority w:val="99"/>
    <w:semiHidden/>
    <w:unhideWhenUsed/>
    <w:rsid w:val="00754AD2"/>
    <w:pPr>
      <w:spacing w:after="0"/>
      <w:ind w:firstLine="360"/>
    </w:pPr>
  </w:style>
  <w:style w:type="character" w:customStyle="1" w:styleId="BodyTextFirstIndent2Char">
    <w:name w:val="Body Text First Indent 2 Char"/>
    <w:basedOn w:val="BodyTextIndentChar"/>
    <w:link w:val="BodyTextFirstIndent2"/>
    <w:uiPriority w:val="99"/>
    <w:semiHidden/>
    <w:rsid w:val="00754AD2"/>
    <w:rPr>
      <w:rFonts w:ascii=".VnTime" w:eastAsia="Times New Roman" w:hAnsi=".VnTime" w:cs="Times New Roman"/>
      <w:sz w:val="24"/>
      <w:szCs w:val="20"/>
    </w:rPr>
  </w:style>
  <w:style w:type="paragraph" w:customStyle="1" w:styleId="CharCharChar">
    <w:name w:val="Char Char Char"/>
    <w:basedOn w:val="Normal"/>
    <w:next w:val="Normal"/>
    <w:autoRedefine/>
    <w:semiHidden/>
    <w:rsid w:val="00754AD2"/>
    <w:pPr>
      <w:spacing w:before="120" w:after="120" w:line="312" w:lineRule="auto"/>
    </w:pPr>
    <w:rPr>
      <w:rFonts w:cs="Times New Roman"/>
      <w:sz w:val="28"/>
      <w:szCs w:val="28"/>
    </w:rPr>
  </w:style>
  <w:style w:type="paragraph" w:styleId="BodyTextIndent2">
    <w:name w:val="Body Text Indent 2"/>
    <w:basedOn w:val="Normal"/>
    <w:link w:val="BodyTextIndent2Char"/>
    <w:uiPriority w:val="99"/>
    <w:semiHidden/>
    <w:unhideWhenUsed/>
    <w:rsid w:val="00754AD2"/>
    <w:pPr>
      <w:spacing w:after="120" w:line="480" w:lineRule="auto"/>
      <w:ind w:left="360"/>
    </w:pPr>
    <w:rPr>
      <w:rFonts w:ascii="Calibri" w:eastAsia="Calibri" w:hAnsi="Calibri" w:cs="Times New Roman"/>
      <w:sz w:val="22"/>
    </w:rPr>
  </w:style>
  <w:style w:type="character" w:customStyle="1" w:styleId="BodyTextIndent2Char">
    <w:name w:val="Body Text Indent 2 Char"/>
    <w:basedOn w:val="DefaultParagraphFont"/>
    <w:link w:val="BodyTextIndent2"/>
    <w:uiPriority w:val="99"/>
    <w:semiHidden/>
    <w:rsid w:val="00754AD2"/>
    <w:rPr>
      <w:rFonts w:ascii="Calibri" w:eastAsia="Calibri" w:hAnsi="Calibri" w:cs="Times New Roman"/>
    </w:rPr>
  </w:style>
  <w:style w:type="paragraph" w:customStyle="1" w:styleId="Normal1">
    <w:name w:val="Normal1"/>
    <w:rsid w:val="00754AD2"/>
    <w:pPr>
      <w:spacing w:after="0" w:line="240" w:lineRule="auto"/>
    </w:pPr>
    <w:rPr>
      <w:rFonts w:ascii="Times New Roman" w:eastAsia="Times New Roman" w:hAnsi="Times New Roman" w:cs="Times New Roman"/>
      <w:color w:val="000000"/>
      <w:sz w:val="24"/>
      <w:szCs w:val="20"/>
    </w:rPr>
  </w:style>
  <w:style w:type="character" w:customStyle="1" w:styleId="ListParagraphChar">
    <w:name w:val="List Paragraph Char"/>
    <w:aliases w:val="7 List Paragraph Char,6 List Paragraph Char,List Paragraph (numbered (a)) Char,ANNEX Char,List Paragraph2 Char,List Paragraph12 Char,ADB List Paragraph Char,ADB paragraph numbering Char,bullet Char,Bulltes Normal Char,Heading 41 Char"/>
    <w:link w:val="ListParagraph"/>
    <w:uiPriority w:val="1"/>
    <w:qFormat/>
    <w:rsid w:val="00754AD2"/>
    <w:rPr>
      <w:rFonts w:ascii="Times New Roman" w:eastAsia="Times New Roman" w:hAnsi="Times New Roman"/>
      <w:sz w:val="26"/>
    </w:rPr>
  </w:style>
  <w:style w:type="character" w:customStyle="1" w:styleId="normalchar">
    <w:name w:val="normal__char"/>
    <w:basedOn w:val="DefaultParagraphFont"/>
    <w:uiPriority w:val="99"/>
    <w:rsid w:val="00754AD2"/>
  </w:style>
  <w:style w:type="character" w:customStyle="1" w:styleId="Vanbnnidung">
    <w:name w:val="Van b?n n?i dung_"/>
    <w:link w:val="Vanbnnidung1"/>
    <w:rsid w:val="00754AD2"/>
    <w:rPr>
      <w:sz w:val="27"/>
      <w:szCs w:val="27"/>
      <w:shd w:val="clear" w:color="auto" w:fill="FFFFFF"/>
    </w:rPr>
  </w:style>
  <w:style w:type="paragraph" w:customStyle="1" w:styleId="Vanbnnidung1">
    <w:name w:val="Van b?n n?i dung1"/>
    <w:basedOn w:val="Normal"/>
    <w:link w:val="Vanbnnidung"/>
    <w:rsid w:val="00754AD2"/>
    <w:pPr>
      <w:widowControl w:val="0"/>
      <w:shd w:val="clear" w:color="auto" w:fill="FFFFFF"/>
      <w:spacing w:before="360" w:after="60" w:line="324" w:lineRule="exact"/>
      <w:jc w:val="both"/>
    </w:pPr>
    <w:rPr>
      <w:rFonts w:asciiTheme="minorHAnsi" w:eastAsiaTheme="minorEastAsia" w:hAnsiTheme="minorHAnsi"/>
      <w:sz w:val="27"/>
      <w:szCs w:val="27"/>
    </w:rPr>
  </w:style>
  <w:style w:type="paragraph" w:customStyle="1" w:styleId="BodyText21">
    <w:name w:val="Body Text 21"/>
    <w:basedOn w:val="Normal"/>
    <w:rsid w:val="00754AD2"/>
    <w:pPr>
      <w:overflowPunct w:val="0"/>
      <w:autoSpaceDE w:val="0"/>
      <w:autoSpaceDN w:val="0"/>
      <w:adjustRightInd w:val="0"/>
      <w:spacing w:after="0" w:line="240" w:lineRule="auto"/>
      <w:ind w:firstLine="720"/>
      <w:jc w:val="both"/>
      <w:textAlignment w:val="baseline"/>
    </w:pPr>
    <w:rPr>
      <w:rFonts w:ascii=".VnTime" w:eastAsia="MS Mincho" w:hAnsi=".VnTime" w:cs="Times New Roman"/>
      <w:sz w:val="24"/>
      <w:szCs w:val="20"/>
      <w:lang w:eastAsia="ja-JP"/>
    </w:rPr>
  </w:style>
  <w:style w:type="character" w:customStyle="1" w:styleId="text">
    <w:name w:val="text"/>
    <w:basedOn w:val="DefaultParagraphFont"/>
    <w:rsid w:val="00754AD2"/>
  </w:style>
  <w:style w:type="character" w:customStyle="1" w:styleId="emoji-sizer">
    <w:name w:val="emoji-sizer"/>
    <w:basedOn w:val="DefaultParagraphFont"/>
    <w:rsid w:val="00754AD2"/>
  </w:style>
  <w:style w:type="character" w:customStyle="1" w:styleId="text-link">
    <w:name w:val="text-link"/>
    <w:basedOn w:val="DefaultParagraphFont"/>
    <w:rsid w:val="00754AD2"/>
  </w:style>
  <w:style w:type="paragraph" w:customStyle="1" w:styleId="FootnotetextCharCharCharCharCharCharCharChar">
    <w:name w:val="Footnote text Char Char Char Char Char Char Char Char"/>
    <w:basedOn w:val="Normal"/>
    <w:link w:val="FootnoteReference"/>
    <w:qFormat/>
    <w:rsid w:val="00754AD2"/>
    <w:pPr>
      <w:spacing w:after="160" w:line="240" w:lineRule="exact"/>
    </w:pPr>
    <w:rPr>
      <w:rFonts w:asciiTheme="minorHAnsi" w:eastAsiaTheme="minorEastAsia" w:hAnsiTheme="minorHAnsi"/>
      <w:sz w:val="22"/>
      <w:vertAlign w:val="superscript"/>
    </w:rPr>
  </w:style>
  <w:style w:type="character" w:customStyle="1" w:styleId="whitespace-normal">
    <w:name w:val="whitespace-normal"/>
    <w:rsid w:val="00754AD2"/>
  </w:style>
  <w:style w:type="paragraph" w:customStyle="1" w:styleId="break-words">
    <w:name w:val="break-words"/>
    <w:basedOn w:val="Normal"/>
    <w:rsid w:val="00754AD2"/>
    <w:pPr>
      <w:spacing w:before="100" w:beforeAutospacing="1" w:after="100" w:afterAutospacing="1" w:line="240" w:lineRule="auto"/>
    </w:pPr>
    <w:rPr>
      <w:rFonts w:cs="Times New Roman"/>
      <w:sz w:val="24"/>
      <w:szCs w:val="24"/>
    </w:rPr>
  </w:style>
  <w:style w:type="paragraph" w:customStyle="1" w:styleId="05NidungVB">
    <w:name w:val="05 Nội dung VB"/>
    <w:basedOn w:val="Normal"/>
    <w:link w:val="05NidungVBChar"/>
    <w:qFormat/>
    <w:rsid w:val="00754AD2"/>
    <w:pPr>
      <w:widowControl w:val="0"/>
      <w:spacing w:after="120" w:line="400" w:lineRule="atLeast"/>
      <w:ind w:firstLine="567"/>
      <w:jc w:val="both"/>
    </w:pPr>
    <w:rPr>
      <w:rFonts w:cs="Times New Roman"/>
      <w:spacing w:val="4"/>
      <w:sz w:val="28"/>
      <w:szCs w:val="28"/>
      <w:lang w:val="x-none" w:eastAsia="x-none"/>
    </w:rPr>
  </w:style>
  <w:style w:type="character" w:customStyle="1" w:styleId="05NidungVBChar">
    <w:name w:val="05 Nội dung VB Char"/>
    <w:link w:val="05NidungVB"/>
    <w:rsid w:val="00754AD2"/>
    <w:rPr>
      <w:rFonts w:ascii="Times New Roman" w:eastAsia="Times New Roman" w:hAnsi="Times New Roman" w:cs="Times New Roman"/>
      <w:spacing w:val="4"/>
      <w:sz w:val="28"/>
      <w:szCs w:val="28"/>
      <w:lang w:val="x-none" w:eastAsia="x-none"/>
    </w:rPr>
  </w:style>
  <w:style w:type="paragraph" w:customStyle="1" w:styleId="Default">
    <w:name w:val="Default"/>
    <w:rsid w:val="00754A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qFormat/>
    <w:rsid w:val="00754AD2"/>
    <w:pPr>
      <w:spacing w:after="160" w:line="240" w:lineRule="exact"/>
    </w:pPr>
    <w:rPr>
      <w:rFonts w:asciiTheme="minorHAnsi" w:eastAsiaTheme="minorHAnsi" w:hAnsiTheme="minorHAnsi"/>
      <w:kern w:val="2"/>
      <w:sz w:val="22"/>
      <w:vertAlign w:val="superscript"/>
      <w14:ligatures w14:val="standardContextual"/>
    </w:rPr>
  </w:style>
  <w:style w:type="paragraph" w:customStyle="1" w:styleId="T2">
    <w:name w:val="T2"/>
    <w:basedOn w:val="Normal"/>
    <w:rsid w:val="00754AD2"/>
    <w:pPr>
      <w:spacing w:after="120" w:line="240" w:lineRule="auto"/>
      <w:ind w:firstLine="567"/>
      <w:jc w:val="both"/>
    </w:pPr>
    <w:rPr>
      <w:rFonts w:cs="Times New Roman"/>
      <w:szCs w:val="28"/>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BearingPoint Char,ftre"/>
    <w:basedOn w:val="Normal"/>
    <w:qFormat/>
    <w:rsid w:val="00754AD2"/>
    <w:pPr>
      <w:spacing w:after="160" w:line="240" w:lineRule="exact"/>
    </w:pPr>
    <w:rPr>
      <w:rFonts w:cs="Times New Roman"/>
      <w:sz w:val="20"/>
      <w:szCs w:val="20"/>
      <w:vertAlign w:val="superscript"/>
      <w:lang w:val="vi-VN" w:eastAsia="ja-JP"/>
    </w:rPr>
  </w:style>
  <w:style w:type="character" w:styleId="FollowedHyperlink">
    <w:name w:val="FollowedHyperlink"/>
    <w:basedOn w:val="DefaultParagraphFont"/>
    <w:uiPriority w:val="99"/>
    <w:semiHidden/>
    <w:unhideWhenUsed/>
    <w:rsid w:val="00754AD2"/>
    <w:rPr>
      <w:color w:val="954F72"/>
      <w:u w:val="single"/>
    </w:rPr>
  </w:style>
  <w:style w:type="paragraph" w:customStyle="1" w:styleId="msonormal0">
    <w:name w:val="msonormal"/>
    <w:basedOn w:val="Normal"/>
    <w:rsid w:val="00754AD2"/>
    <w:pPr>
      <w:spacing w:before="100" w:beforeAutospacing="1" w:after="100" w:afterAutospacing="1" w:line="240" w:lineRule="auto"/>
    </w:pPr>
    <w:rPr>
      <w:rFonts w:cs="Times New Roman"/>
      <w:sz w:val="24"/>
      <w:szCs w:val="24"/>
    </w:rPr>
  </w:style>
  <w:style w:type="paragraph" w:customStyle="1" w:styleId="font5">
    <w:name w:val="font5"/>
    <w:basedOn w:val="Normal"/>
    <w:rsid w:val="00754AD2"/>
    <w:pPr>
      <w:spacing w:before="100" w:beforeAutospacing="1" w:after="100" w:afterAutospacing="1" w:line="240" w:lineRule="auto"/>
    </w:pPr>
    <w:rPr>
      <w:rFonts w:ascii="Calibri Light" w:hAnsi="Calibri Light" w:cs="Calibri Light"/>
      <w:color w:val="000000"/>
      <w:sz w:val="24"/>
      <w:szCs w:val="24"/>
    </w:rPr>
  </w:style>
  <w:style w:type="paragraph" w:customStyle="1" w:styleId="font6">
    <w:name w:val="font6"/>
    <w:basedOn w:val="Normal"/>
    <w:rsid w:val="00754AD2"/>
    <w:pPr>
      <w:spacing w:before="100" w:beforeAutospacing="1" w:after="100" w:afterAutospacing="1" w:line="240" w:lineRule="auto"/>
    </w:pPr>
    <w:rPr>
      <w:rFonts w:ascii="Calibri Light" w:hAnsi="Calibri Light" w:cs="Calibri Light"/>
      <w:b/>
      <w:bCs/>
      <w:color w:val="000000"/>
      <w:sz w:val="24"/>
      <w:szCs w:val="24"/>
    </w:rPr>
  </w:style>
  <w:style w:type="paragraph" w:customStyle="1" w:styleId="font7">
    <w:name w:val="font7"/>
    <w:basedOn w:val="Normal"/>
    <w:rsid w:val="00754AD2"/>
    <w:pPr>
      <w:spacing w:before="100" w:beforeAutospacing="1" w:after="100" w:afterAutospacing="1" w:line="240" w:lineRule="auto"/>
    </w:pPr>
    <w:rPr>
      <w:rFonts w:ascii="Calibri Light" w:hAnsi="Calibri Light" w:cs="Calibri Light"/>
      <w:b/>
      <w:bCs/>
      <w:color w:val="000000"/>
      <w:sz w:val="24"/>
      <w:szCs w:val="24"/>
    </w:rPr>
  </w:style>
  <w:style w:type="paragraph" w:customStyle="1" w:styleId="font8">
    <w:name w:val="font8"/>
    <w:basedOn w:val="Normal"/>
    <w:rsid w:val="00754AD2"/>
    <w:pPr>
      <w:spacing w:before="100" w:beforeAutospacing="1" w:after="100" w:afterAutospacing="1" w:line="240" w:lineRule="auto"/>
    </w:pPr>
    <w:rPr>
      <w:rFonts w:ascii="Calibri Light" w:hAnsi="Calibri Light" w:cs="Calibri Light"/>
      <w:color w:val="FF0000"/>
      <w:sz w:val="24"/>
      <w:szCs w:val="24"/>
    </w:rPr>
  </w:style>
  <w:style w:type="paragraph" w:customStyle="1" w:styleId="font9">
    <w:name w:val="font9"/>
    <w:basedOn w:val="Normal"/>
    <w:rsid w:val="00754AD2"/>
    <w:pPr>
      <w:spacing w:before="100" w:beforeAutospacing="1" w:after="100" w:afterAutospacing="1" w:line="240" w:lineRule="auto"/>
    </w:pPr>
    <w:rPr>
      <w:rFonts w:ascii="Calibri Light" w:hAnsi="Calibri Light" w:cs="Calibri Light"/>
      <w:b/>
      <w:bCs/>
      <w:color w:val="FF0000"/>
      <w:sz w:val="24"/>
      <w:szCs w:val="24"/>
    </w:rPr>
  </w:style>
  <w:style w:type="paragraph" w:customStyle="1" w:styleId="xl63">
    <w:name w:val="xl63"/>
    <w:basedOn w:val="Normal"/>
    <w:rsid w:val="00754AD2"/>
    <w:pPr>
      <w:spacing w:before="100" w:beforeAutospacing="1" w:after="100" w:afterAutospacing="1" w:line="240" w:lineRule="auto"/>
    </w:pPr>
    <w:rPr>
      <w:rFonts w:ascii="Calibri Light" w:hAnsi="Calibri Light" w:cs="Calibri Light"/>
      <w:sz w:val="24"/>
      <w:szCs w:val="24"/>
    </w:rPr>
  </w:style>
  <w:style w:type="paragraph" w:customStyle="1" w:styleId="xl64">
    <w:name w:val="xl64"/>
    <w:basedOn w:val="Normal"/>
    <w:rsid w:val="00754AD2"/>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center"/>
      <w:textAlignment w:val="center"/>
    </w:pPr>
    <w:rPr>
      <w:rFonts w:ascii="Calibri Light" w:hAnsi="Calibri Light" w:cs="Calibri Light"/>
      <w:b/>
      <w:bCs/>
      <w:color w:val="000000"/>
      <w:sz w:val="24"/>
      <w:szCs w:val="24"/>
    </w:rPr>
  </w:style>
  <w:style w:type="paragraph" w:customStyle="1" w:styleId="xl65">
    <w:name w:val="xl65"/>
    <w:basedOn w:val="Normal"/>
    <w:rsid w:val="00754AD2"/>
    <w:pPr>
      <w:spacing w:before="100" w:beforeAutospacing="1" w:after="100" w:afterAutospacing="1" w:line="240" w:lineRule="auto"/>
      <w:jc w:val="center"/>
    </w:pPr>
    <w:rPr>
      <w:rFonts w:ascii="Calibri Light" w:hAnsi="Calibri Light" w:cs="Calibri Light"/>
      <w:sz w:val="24"/>
      <w:szCs w:val="24"/>
    </w:rPr>
  </w:style>
  <w:style w:type="paragraph" w:customStyle="1" w:styleId="xl66">
    <w:name w:val="xl66"/>
    <w:basedOn w:val="Normal"/>
    <w:rsid w:val="00754AD2"/>
    <w:pPr>
      <w:pBdr>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Calibri Light" w:hAnsi="Calibri Light" w:cs="Calibri Light"/>
      <w:b/>
      <w:bCs/>
      <w:color w:val="000000"/>
      <w:sz w:val="24"/>
      <w:szCs w:val="24"/>
    </w:rPr>
  </w:style>
  <w:style w:type="paragraph" w:customStyle="1" w:styleId="xl67">
    <w:name w:val="xl67"/>
    <w:basedOn w:val="Normal"/>
    <w:rsid w:val="00754AD2"/>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libri Light" w:hAnsi="Calibri Light" w:cs="Calibri Light"/>
      <w:sz w:val="24"/>
      <w:szCs w:val="24"/>
    </w:rPr>
  </w:style>
  <w:style w:type="paragraph" w:customStyle="1" w:styleId="xl68">
    <w:name w:val="xl68"/>
    <w:basedOn w:val="Normal"/>
    <w:rsid w:val="00754AD2"/>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Light" w:hAnsi="Calibri Light" w:cs="Calibri Light"/>
      <w:sz w:val="24"/>
      <w:szCs w:val="24"/>
    </w:rPr>
  </w:style>
  <w:style w:type="paragraph" w:customStyle="1" w:styleId="xl69">
    <w:name w:val="xl69"/>
    <w:basedOn w:val="Normal"/>
    <w:rsid w:val="00754AD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libri Light" w:hAnsi="Calibri Light" w:cs="Calibri Light"/>
      <w:sz w:val="24"/>
      <w:szCs w:val="24"/>
    </w:rPr>
  </w:style>
  <w:style w:type="paragraph" w:customStyle="1" w:styleId="xl70">
    <w:name w:val="xl70"/>
    <w:basedOn w:val="Normal"/>
    <w:rsid w:val="00754AD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libri Light" w:hAnsi="Calibri Light" w:cs="Calibri Light"/>
      <w:color w:val="000000"/>
      <w:sz w:val="24"/>
      <w:szCs w:val="24"/>
    </w:rPr>
  </w:style>
  <w:style w:type="paragraph" w:customStyle="1" w:styleId="xl71">
    <w:name w:val="xl71"/>
    <w:basedOn w:val="Normal"/>
    <w:rsid w:val="00754AD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Calibri Light" w:hAnsi="Calibri Light" w:cs="Calibri Light"/>
      <w:color w:val="000000"/>
      <w:sz w:val="24"/>
      <w:szCs w:val="24"/>
    </w:rPr>
  </w:style>
  <w:style w:type="paragraph" w:customStyle="1" w:styleId="xl72">
    <w:name w:val="xl72"/>
    <w:basedOn w:val="Normal"/>
    <w:rsid w:val="00754AD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Light" w:hAnsi="Calibri Light" w:cs="Calibri Light"/>
      <w:sz w:val="24"/>
      <w:szCs w:val="24"/>
    </w:rPr>
  </w:style>
  <w:style w:type="paragraph" w:customStyle="1" w:styleId="xl73">
    <w:name w:val="xl73"/>
    <w:basedOn w:val="Normal"/>
    <w:rsid w:val="00754AD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Calibri Light" w:hAnsi="Calibri Light" w:cs="Calibri Light"/>
      <w:sz w:val="24"/>
      <w:szCs w:val="24"/>
    </w:rPr>
  </w:style>
  <w:style w:type="paragraph" w:customStyle="1" w:styleId="xl74">
    <w:name w:val="xl74"/>
    <w:basedOn w:val="Normal"/>
    <w:rsid w:val="00754AD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libri Light" w:hAnsi="Calibri Light" w:cs="Calibri Light"/>
      <w:sz w:val="24"/>
      <w:szCs w:val="24"/>
    </w:rPr>
  </w:style>
  <w:style w:type="paragraph" w:customStyle="1" w:styleId="xl75">
    <w:name w:val="xl75"/>
    <w:basedOn w:val="Normal"/>
    <w:rsid w:val="00754AD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libri Light" w:hAnsi="Calibri Light" w:cs="Calibri Light"/>
      <w:b/>
      <w:bCs/>
      <w:sz w:val="24"/>
      <w:szCs w:val="24"/>
    </w:rPr>
  </w:style>
  <w:style w:type="paragraph" w:customStyle="1" w:styleId="xl76">
    <w:name w:val="xl76"/>
    <w:basedOn w:val="Normal"/>
    <w:rsid w:val="00754AD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Light" w:hAnsi="Calibri Light" w:cs="Calibri Light"/>
      <w:b/>
      <w:bCs/>
      <w:sz w:val="24"/>
      <w:szCs w:val="24"/>
    </w:rPr>
  </w:style>
  <w:style w:type="paragraph" w:customStyle="1" w:styleId="xl77">
    <w:name w:val="xl77"/>
    <w:basedOn w:val="Normal"/>
    <w:rsid w:val="00754AD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Calibri Light" w:hAnsi="Calibri Light" w:cs="Calibri Light"/>
      <w:b/>
      <w:bCs/>
      <w:color w:val="000000"/>
      <w:sz w:val="24"/>
      <w:szCs w:val="24"/>
    </w:rPr>
  </w:style>
  <w:style w:type="paragraph" w:customStyle="1" w:styleId="xl78">
    <w:name w:val="xl78"/>
    <w:basedOn w:val="Normal"/>
    <w:rsid w:val="00754AD2"/>
    <w:pPr>
      <w:spacing w:before="100" w:beforeAutospacing="1" w:after="100" w:afterAutospacing="1" w:line="240" w:lineRule="auto"/>
    </w:pPr>
    <w:rPr>
      <w:rFonts w:ascii="Calibri Light" w:hAnsi="Calibri Light" w:cs="Calibri Light"/>
      <w:b/>
      <w:bCs/>
      <w:sz w:val="24"/>
      <w:szCs w:val="24"/>
    </w:rPr>
  </w:style>
  <w:style w:type="paragraph" w:customStyle="1" w:styleId="xl79">
    <w:name w:val="xl79"/>
    <w:basedOn w:val="Normal"/>
    <w:rsid w:val="00754AD2"/>
    <w:pPr>
      <w:spacing w:before="100" w:beforeAutospacing="1" w:after="100" w:afterAutospacing="1" w:line="240" w:lineRule="auto"/>
    </w:pPr>
    <w:rPr>
      <w:rFonts w:cs="Times New Roman"/>
      <w:b/>
      <w:bCs/>
      <w:sz w:val="24"/>
      <w:szCs w:val="24"/>
    </w:rPr>
  </w:style>
  <w:style w:type="paragraph" w:customStyle="1" w:styleId="xl80">
    <w:name w:val="xl80"/>
    <w:basedOn w:val="Normal"/>
    <w:rsid w:val="00754AD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Light" w:hAnsi="Calibri Light" w:cs="Calibri Light"/>
      <w:sz w:val="24"/>
      <w:szCs w:val="24"/>
    </w:rPr>
  </w:style>
  <w:style w:type="paragraph" w:customStyle="1" w:styleId="xl81">
    <w:name w:val="xl81"/>
    <w:basedOn w:val="Normal"/>
    <w:rsid w:val="00754AD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Light" w:hAnsi="Calibri Light" w:cs="Calibri Light"/>
      <w:b/>
      <w:bCs/>
      <w:sz w:val="24"/>
      <w:szCs w:val="24"/>
    </w:rPr>
  </w:style>
  <w:style w:type="paragraph" w:customStyle="1" w:styleId="xl82">
    <w:name w:val="xl82"/>
    <w:basedOn w:val="Normal"/>
    <w:rsid w:val="00754AD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Light" w:hAnsi="Calibri Light" w:cs="Calibri Light"/>
      <w:color w:val="000000"/>
      <w:sz w:val="24"/>
      <w:szCs w:val="24"/>
    </w:rPr>
  </w:style>
  <w:style w:type="paragraph" w:customStyle="1" w:styleId="xl83">
    <w:name w:val="xl83"/>
    <w:basedOn w:val="Normal"/>
    <w:rsid w:val="00754AD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Light" w:hAnsi="Calibri Light" w:cs="Calibri Light"/>
      <w:b/>
      <w:bCs/>
      <w:sz w:val="24"/>
      <w:szCs w:val="24"/>
    </w:rPr>
  </w:style>
  <w:style w:type="paragraph" w:customStyle="1" w:styleId="xl84">
    <w:name w:val="xl84"/>
    <w:basedOn w:val="Normal"/>
    <w:rsid w:val="00754AD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Calibri Light" w:hAnsi="Calibri Light" w:cs="Calibri Light"/>
      <w:color w:val="FF0000"/>
      <w:sz w:val="24"/>
      <w:szCs w:val="24"/>
    </w:rPr>
  </w:style>
  <w:style w:type="paragraph" w:customStyle="1" w:styleId="xl85">
    <w:name w:val="xl85"/>
    <w:basedOn w:val="Normal"/>
    <w:rsid w:val="00754AD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Calibri Light" w:hAnsi="Calibri Light" w:cs="Calibri Light"/>
      <w:sz w:val="24"/>
      <w:szCs w:val="24"/>
    </w:rPr>
  </w:style>
  <w:style w:type="paragraph" w:customStyle="1" w:styleId="xl86">
    <w:name w:val="xl86"/>
    <w:basedOn w:val="Normal"/>
    <w:rsid w:val="00754AD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Calibri Light" w:hAnsi="Calibri Light" w:cs="Calibri Light"/>
      <w:sz w:val="24"/>
      <w:szCs w:val="24"/>
    </w:rPr>
  </w:style>
  <w:style w:type="paragraph" w:customStyle="1" w:styleId="xl87">
    <w:name w:val="xl87"/>
    <w:basedOn w:val="Normal"/>
    <w:rsid w:val="00754AD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Calibri Light" w:hAnsi="Calibri Light" w:cs="Calibri Light"/>
      <w:b/>
      <w:bCs/>
      <w:color w:val="FF0000"/>
      <w:sz w:val="24"/>
      <w:szCs w:val="24"/>
    </w:rPr>
  </w:style>
  <w:style w:type="paragraph" w:customStyle="1" w:styleId="xl88">
    <w:name w:val="xl88"/>
    <w:basedOn w:val="Normal"/>
    <w:rsid w:val="00754AD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Calibri Light" w:hAnsi="Calibri Light" w:cs="Calibri Light"/>
      <w:b/>
      <w:bCs/>
      <w:sz w:val="24"/>
      <w:szCs w:val="24"/>
    </w:rPr>
  </w:style>
  <w:style w:type="paragraph" w:customStyle="1" w:styleId="xl89">
    <w:name w:val="xl89"/>
    <w:basedOn w:val="Normal"/>
    <w:rsid w:val="00754AD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libri Light" w:hAnsi="Calibri Light" w:cs="Calibri Light"/>
      <w:sz w:val="24"/>
      <w:szCs w:val="24"/>
    </w:rPr>
  </w:style>
  <w:style w:type="paragraph" w:customStyle="1" w:styleId="xl90">
    <w:name w:val="xl90"/>
    <w:basedOn w:val="Normal"/>
    <w:rsid w:val="00754AD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libri Light" w:hAnsi="Calibri Light" w:cs="Calibri Light"/>
      <w:b/>
      <w:bCs/>
      <w:sz w:val="24"/>
      <w:szCs w:val="24"/>
    </w:rPr>
  </w:style>
  <w:style w:type="paragraph" w:customStyle="1" w:styleId="xl91">
    <w:name w:val="xl91"/>
    <w:basedOn w:val="Normal"/>
    <w:rsid w:val="00754AD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Light" w:hAnsi="Calibri Light" w:cs="Calibri Light"/>
      <w:b/>
      <w:bCs/>
      <w:color w:val="000000"/>
      <w:sz w:val="24"/>
      <w:szCs w:val="24"/>
    </w:rPr>
  </w:style>
  <w:style w:type="paragraph" w:customStyle="1" w:styleId="xl92">
    <w:name w:val="xl92"/>
    <w:basedOn w:val="Normal"/>
    <w:rsid w:val="00754AD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libri Light" w:hAnsi="Calibri Light" w:cs="Calibri Light"/>
      <w:b/>
      <w:bCs/>
      <w:color w:val="000000"/>
      <w:sz w:val="24"/>
      <w:szCs w:val="24"/>
    </w:rPr>
  </w:style>
  <w:style w:type="paragraph" w:customStyle="1" w:styleId="xl93">
    <w:name w:val="xl93"/>
    <w:basedOn w:val="Normal"/>
    <w:rsid w:val="00754AD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libri Light" w:hAnsi="Calibri Light" w:cs="Calibri Light"/>
      <w:b/>
      <w:bCs/>
      <w:color w:val="FF0000"/>
      <w:sz w:val="24"/>
      <w:szCs w:val="24"/>
    </w:rPr>
  </w:style>
  <w:style w:type="paragraph" w:customStyle="1" w:styleId="xl94">
    <w:name w:val="xl94"/>
    <w:basedOn w:val="Normal"/>
    <w:rsid w:val="00754AD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Light" w:hAnsi="Calibri Light" w:cs="Calibri Light"/>
      <w:b/>
      <w:bCs/>
      <w:color w:val="FF0000"/>
      <w:sz w:val="24"/>
      <w:szCs w:val="24"/>
    </w:rPr>
  </w:style>
  <w:style w:type="paragraph" w:customStyle="1" w:styleId="xl95">
    <w:name w:val="xl95"/>
    <w:basedOn w:val="Normal"/>
    <w:rsid w:val="00754AD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libri Light" w:hAnsi="Calibri Light" w:cs="Calibri Light"/>
      <w:b/>
      <w:bCs/>
      <w:color w:val="FF0000"/>
      <w:sz w:val="24"/>
      <w:szCs w:val="24"/>
    </w:rPr>
  </w:style>
  <w:style w:type="paragraph" w:customStyle="1" w:styleId="xl96">
    <w:name w:val="xl96"/>
    <w:basedOn w:val="Normal"/>
    <w:rsid w:val="00754AD2"/>
    <w:pPr>
      <w:spacing w:before="100" w:beforeAutospacing="1" w:after="100" w:afterAutospacing="1" w:line="240" w:lineRule="auto"/>
    </w:pPr>
    <w:rPr>
      <w:rFonts w:ascii="Calibri Light" w:hAnsi="Calibri Light" w:cs="Calibri Light"/>
      <w:b/>
      <w:bCs/>
      <w:sz w:val="24"/>
      <w:szCs w:val="24"/>
    </w:rPr>
  </w:style>
  <w:style w:type="paragraph" w:customStyle="1" w:styleId="xl97">
    <w:name w:val="xl97"/>
    <w:basedOn w:val="Normal"/>
    <w:rsid w:val="00754AD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Light" w:hAnsi="Calibri Light" w:cs="Calibri Light"/>
      <w:sz w:val="24"/>
      <w:szCs w:val="24"/>
    </w:rPr>
  </w:style>
  <w:style w:type="paragraph" w:customStyle="1" w:styleId="xl98">
    <w:name w:val="xl98"/>
    <w:basedOn w:val="Normal"/>
    <w:rsid w:val="00754AD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Light" w:hAnsi="Calibri Light" w:cs="Calibri Light"/>
      <w:b/>
      <w:bCs/>
      <w:color w:val="FF0000"/>
      <w:sz w:val="24"/>
      <w:szCs w:val="24"/>
    </w:rPr>
  </w:style>
  <w:style w:type="paragraph" w:customStyle="1" w:styleId="xl99">
    <w:name w:val="xl99"/>
    <w:basedOn w:val="Normal"/>
    <w:rsid w:val="00754AD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libri Light" w:hAnsi="Calibri Light" w:cs="Calibri Light"/>
      <w:b/>
      <w:bCs/>
      <w:color w:val="FF0000"/>
      <w:sz w:val="24"/>
      <w:szCs w:val="24"/>
    </w:rPr>
  </w:style>
  <w:style w:type="paragraph" w:customStyle="1" w:styleId="xl100">
    <w:name w:val="xl100"/>
    <w:basedOn w:val="Normal"/>
    <w:rsid w:val="00754AD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libri Light" w:hAnsi="Calibri Light" w:cs="Calibri Light"/>
      <w:b/>
      <w:bCs/>
      <w:color w:val="FF0000"/>
      <w:sz w:val="24"/>
      <w:szCs w:val="24"/>
    </w:rPr>
  </w:style>
  <w:style w:type="paragraph" w:customStyle="1" w:styleId="xl101">
    <w:name w:val="xl101"/>
    <w:basedOn w:val="Normal"/>
    <w:rsid w:val="00754AD2"/>
    <w:pPr>
      <w:spacing w:before="100" w:beforeAutospacing="1" w:after="100" w:afterAutospacing="1" w:line="240" w:lineRule="auto"/>
    </w:pPr>
    <w:rPr>
      <w:rFonts w:ascii="Calibri Light" w:hAnsi="Calibri Light" w:cs="Calibri Light"/>
      <w:b/>
      <w:bCs/>
      <w:color w:val="FF0000"/>
      <w:sz w:val="24"/>
      <w:szCs w:val="24"/>
    </w:rPr>
  </w:style>
  <w:style w:type="paragraph" w:customStyle="1" w:styleId="xl102">
    <w:name w:val="xl102"/>
    <w:basedOn w:val="Normal"/>
    <w:rsid w:val="00754AD2"/>
    <w:pPr>
      <w:pBdr>
        <w:bottom w:val="single" w:sz="4" w:space="0" w:color="auto"/>
        <w:right w:val="single" w:sz="4" w:space="0" w:color="000000"/>
      </w:pBdr>
      <w:spacing w:before="100" w:beforeAutospacing="1" w:after="100" w:afterAutospacing="1" w:line="240" w:lineRule="auto"/>
    </w:pPr>
    <w:rPr>
      <w:rFonts w:ascii="Calibri Light" w:hAnsi="Calibri Light" w:cs="Calibri Light"/>
      <w:b/>
      <w:bCs/>
      <w:color w:val="FF0000"/>
      <w:sz w:val="24"/>
      <w:szCs w:val="24"/>
    </w:rPr>
  </w:style>
  <w:style w:type="paragraph" w:customStyle="1" w:styleId="xl103">
    <w:name w:val="xl103"/>
    <w:basedOn w:val="Normal"/>
    <w:rsid w:val="00754AD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Calibri Light" w:hAnsi="Calibri Light" w:cs="Calibri Light"/>
      <w:color w:val="0070C0"/>
      <w:sz w:val="24"/>
      <w:szCs w:val="24"/>
    </w:rPr>
  </w:style>
  <w:style w:type="paragraph" w:customStyle="1" w:styleId="xl104">
    <w:name w:val="xl104"/>
    <w:basedOn w:val="Normal"/>
    <w:rsid w:val="00754AD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Light" w:hAnsi="Calibri Light" w:cs="Calibri Light"/>
      <w:color w:val="0070C0"/>
      <w:sz w:val="24"/>
      <w:szCs w:val="24"/>
    </w:rPr>
  </w:style>
  <w:style w:type="character" w:customStyle="1" w:styleId="UnresolvedMention1">
    <w:name w:val="Unresolved Mention1"/>
    <w:basedOn w:val="DefaultParagraphFont"/>
    <w:uiPriority w:val="99"/>
    <w:semiHidden/>
    <w:unhideWhenUsed/>
    <w:rsid w:val="00754A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6691">
      <w:bodyDiv w:val="1"/>
      <w:marLeft w:val="0"/>
      <w:marRight w:val="0"/>
      <w:marTop w:val="0"/>
      <w:marBottom w:val="0"/>
      <w:divBdr>
        <w:top w:val="none" w:sz="0" w:space="0" w:color="auto"/>
        <w:left w:val="none" w:sz="0" w:space="0" w:color="auto"/>
        <w:bottom w:val="none" w:sz="0" w:space="0" w:color="auto"/>
        <w:right w:val="none" w:sz="0" w:space="0" w:color="auto"/>
      </w:divBdr>
    </w:div>
    <w:div w:id="106706348">
      <w:bodyDiv w:val="1"/>
      <w:marLeft w:val="0"/>
      <w:marRight w:val="0"/>
      <w:marTop w:val="0"/>
      <w:marBottom w:val="0"/>
      <w:divBdr>
        <w:top w:val="none" w:sz="0" w:space="0" w:color="auto"/>
        <w:left w:val="none" w:sz="0" w:space="0" w:color="auto"/>
        <w:bottom w:val="none" w:sz="0" w:space="0" w:color="auto"/>
        <w:right w:val="none" w:sz="0" w:space="0" w:color="auto"/>
      </w:divBdr>
      <w:divsChild>
        <w:div w:id="1021709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394324">
      <w:bodyDiv w:val="1"/>
      <w:marLeft w:val="0"/>
      <w:marRight w:val="0"/>
      <w:marTop w:val="0"/>
      <w:marBottom w:val="0"/>
      <w:divBdr>
        <w:top w:val="none" w:sz="0" w:space="0" w:color="auto"/>
        <w:left w:val="none" w:sz="0" w:space="0" w:color="auto"/>
        <w:bottom w:val="none" w:sz="0" w:space="0" w:color="auto"/>
        <w:right w:val="none" w:sz="0" w:space="0" w:color="auto"/>
      </w:divBdr>
    </w:div>
    <w:div w:id="210658104">
      <w:bodyDiv w:val="1"/>
      <w:marLeft w:val="0"/>
      <w:marRight w:val="0"/>
      <w:marTop w:val="0"/>
      <w:marBottom w:val="0"/>
      <w:divBdr>
        <w:top w:val="none" w:sz="0" w:space="0" w:color="auto"/>
        <w:left w:val="none" w:sz="0" w:space="0" w:color="auto"/>
        <w:bottom w:val="none" w:sz="0" w:space="0" w:color="auto"/>
        <w:right w:val="none" w:sz="0" w:space="0" w:color="auto"/>
      </w:divBdr>
    </w:div>
    <w:div w:id="734165620">
      <w:bodyDiv w:val="1"/>
      <w:marLeft w:val="0"/>
      <w:marRight w:val="0"/>
      <w:marTop w:val="0"/>
      <w:marBottom w:val="0"/>
      <w:divBdr>
        <w:top w:val="none" w:sz="0" w:space="0" w:color="auto"/>
        <w:left w:val="none" w:sz="0" w:space="0" w:color="auto"/>
        <w:bottom w:val="none" w:sz="0" w:space="0" w:color="auto"/>
        <w:right w:val="none" w:sz="0" w:space="0" w:color="auto"/>
      </w:divBdr>
    </w:div>
    <w:div w:id="757022273">
      <w:bodyDiv w:val="1"/>
      <w:marLeft w:val="0"/>
      <w:marRight w:val="0"/>
      <w:marTop w:val="0"/>
      <w:marBottom w:val="0"/>
      <w:divBdr>
        <w:top w:val="none" w:sz="0" w:space="0" w:color="auto"/>
        <w:left w:val="none" w:sz="0" w:space="0" w:color="auto"/>
        <w:bottom w:val="none" w:sz="0" w:space="0" w:color="auto"/>
        <w:right w:val="none" w:sz="0" w:space="0" w:color="auto"/>
      </w:divBdr>
    </w:div>
    <w:div w:id="880744916">
      <w:bodyDiv w:val="1"/>
      <w:marLeft w:val="0"/>
      <w:marRight w:val="0"/>
      <w:marTop w:val="0"/>
      <w:marBottom w:val="0"/>
      <w:divBdr>
        <w:top w:val="none" w:sz="0" w:space="0" w:color="auto"/>
        <w:left w:val="none" w:sz="0" w:space="0" w:color="auto"/>
        <w:bottom w:val="none" w:sz="0" w:space="0" w:color="auto"/>
        <w:right w:val="none" w:sz="0" w:space="0" w:color="auto"/>
      </w:divBdr>
    </w:div>
    <w:div w:id="905068024">
      <w:bodyDiv w:val="1"/>
      <w:marLeft w:val="0"/>
      <w:marRight w:val="0"/>
      <w:marTop w:val="0"/>
      <w:marBottom w:val="0"/>
      <w:divBdr>
        <w:top w:val="none" w:sz="0" w:space="0" w:color="auto"/>
        <w:left w:val="none" w:sz="0" w:space="0" w:color="auto"/>
        <w:bottom w:val="none" w:sz="0" w:space="0" w:color="auto"/>
        <w:right w:val="none" w:sz="0" w:space="0" w:color="auto"/>
      </w:divBdr>
    </w:div>
    <w:div w:id="944654789">
      <w:bodyDiv w:val="1"/>
      <w:marLeft w:val="0"/>
      <w:marRight w:val="0"/>
      <w:marTop w:val="0"/>
      <w:marBottom w:val="0"/>
      <w:divBdr>
        <w:top w:val="none" w:sz="0" w:space="0" w:color="auto"/>
        <w:left w:val="none" w:sz="0" w:space="0" w:color="auto"/>
        <w:bottom w:val="none" w:sz="0" w:space="0" w:color="auto"/>
        <w:right w:val="none" w:sz="0" w:space="0" w:color="auto"/>
      </w:divBdr>
    </w:div>
    <w:div w:id="1016538000">
      <w:bodyDiv w:val="1"/>
      <w:marLeft w:val="0"/>
      <w:marRight w:val="0"/>
      <w:marTop w:val="0"/>
      <w:marBottom w:val="0"/>
      <w:divBdr>
        <w:top w:val="none" w:sz="0" w:space="0" w:color="auto"/>
        <w:left w:val="none" w:sz="0" w:space="0" w:color="auto"/>
        <w:bottom w:val="none" w:sz="0" w:space="0" w:color="auto"/>
        <w:right w:val="none" w:sz="0" w:space="0" w:color="auto"/>
      </w:divBdr>
      <w:divsChild>
        <w:div w:id="198666101">
          <w:marLeft w:val="0"/>
          <w:marRight w:val="0"/>
          <w:marTop w:val="0"/>
          <w:marBottom w:val="0"/>
          <w:divBdr>
            <w:top w:val="none" w:sz="0" w:space="0" w:color="auto"/>
            <w:left w:val="none" w:sz="0" w:space="0" w:color="auto"/>
            <w:bottom w:val="none" w:sz="0" w:space="0" w:color="auto"/>
            <w:right w:val="none" w:sz="0" w:space="0" w:color="auto"/>
          </w:divBdr>
          <w:divsChild>
            <w:div w:id="353385480">
              <w:marLeft w:val="0"/>
              <w:marRight w:val="0"/>
              <w:marTop w:val="0"/>
              <w:marBottom w:val="0"/>
              <w:divBdr>
                <w:top w:val="none" w:sz="0" w:space="0" w:color="auto"/>
                <w:left w:val="none" w:sz="0" w:space="0" w:color="auto"/>
                <w:bottom w:val="none" w:sz="0" w:space="0" w:color="auto"/>
                <w:right w:val="none" w:sz="0" w:space="0" w:color="auto"/>
              </w:divBdr>
              <w:divsChild>
                <w:div w:id="1472483110">
                  <w:marLeft w:val="0"/>
                  <w:marRight w:val="0"/>
                  <w:marTop w:val="0"/>
                  <w:marBottom w:val="0"/>
                  <w:divBdr>
                    <w:top w:val="none" w:sz="0" w:space="0" w:color="auto"/>
                    <w:left w:val="none" w:sz="0" w:space="0" w:color="auto"/>
                    <w:bottom w:val="none" w:sz="0" w:space="0" w:color="auto"/>
                    <w:right w:val="none" w:sz="0" w:space="0" w:color="auto"/>
                  </w:divBdr>
                  <w:divsChild>
                    <w:div w:id="1179391140">
                      <w:marLeft w:val="0"/>
                      <w:marRight w:val="0"/>
                      <w:marTop w:val="0"/>
                      <w:marBottom w:val="0"/>
                      <w:divBdr>
                        <w:top w:val="none" w:sz="0" w:space="0" w:color="auto"/>
                        <w:left w:val="none" w:sz="0" w:space="0" w:color="auto"/>
                        <w:bottom w:val="none" w:sz="0" w:space="0" w:color="auto"/>
                        <w:right w:val="none" w:sz="0" w:space="0" w:color="auto"/>
                      </w:divBdr>
                      <w:divsChild>
                        <w:div w:id="616571271">
                          <w:marLeft w:val="0"/>
                          <w:marRight w:val="0"/>
                          <w:marTop w:val="0"/>
                          <w:marBottom w:val="0"/>
                          <w:divBdr>
                            <w:top w:val="none" w:sz="0" w:space="0" w:color="auto"/>
                            <w:left w:val="none" w:sz="0" w:space="0" w:color="auto"/>
                            <w:bottom w:val="none" w:sz="0" w:space="0" w:color="auto"/>
                            <w:right w:val="none" w:sz="0" w:space="0" w:color="auto"/>
                          </w:divBdr>
                          <w:divsChild>
                            <w:div w:id="137235111">
                              <w:marLeft w:val="0"/>
                              <w:marRight w:val="0"/>
                              <w:marTop w:val="0"/>
                              <w:marBottom w:val="0"/>
                              <w:divBdr>
                                <w:top w:val="none" w:sz="0" w:space="0" w:color="auto"/>
                                <w:left w:val="none" w:sz="0" w:space="0" w:color="auto"/>
                                <w:bottom w:val="none" w:sz="0" w:space="0" w:color="auto"/>
                                <w:right w:val="none" w:sz="0" w:space="0" w:color="auto"/>
                              </w:divBdr>
                              <w:divsChild>
                                <w:div w:id="581719540">
                                  <w:marLeft w:val="0"/>
                                  <w:marRight w:val="0"/>
                                  <w:marTop w:val="0"/>
                                  <w:marBottom w:val="0"/>
                                  <w:divBdr>
                                    <w:top w:val="none" w:sz="0" w:space="0" w:color="auto"/>
                                    <w:left w:val="none" w:sz="0" w:space="0" w:color="auto"/>
                                    <w:bottom w:val="none" w:sz="0" w:space="0" w:color="auto"/>
                                    <w:right w:val="none" w:sz="0" w:space="0" w:color="auto"/>
                                  </w:divBdr>
                                  <w:divsChild>
                                    <w:div w:id="726298963">
                                      <w:marLeft w:val="0"/>
                                      <w:marRight w:val="0"/>
                                      <w:marTop w:val="0"/>
                                      <w:marBottom w:val="0"/>
                                      <w:divBdr>
                                        <w:top w:val="none" w:sz="0" w:space="0" w:color="auto"/>
                                        <w:left w:val="none" w:sz="0" w:space="0" w:color="auto"/>
                                        <w:bottom w:val="none" w:sz="0" w:space="0" w:color="auto"/>
                                        <w:right w:val="none" w:sz="0" w:space="0" w:color="auto"/>
                                      </w:divBdr>
                                      <w:divsChild>
                                        <w:div w:id="1879582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450588">
          <w:marLeft w:val="0"/>
          <w:marRight w:val="0"/>
          <w:marTop w:val="0"/>
          <w:marBottom w:val="0"/>
          <w:divBdr>
            <w:top w:val="none" w:sz="0" w:space="0" w:color="auto"/>
            <w:left w:val="none" w:sz="0" w:space="0" w:color="auto"/>
            <w:bottom w:val="none" w:sz="0" w:space="0" w:color="auto"/>
            <w:right w:val="none" w:sz="0" w:space="0" w:color="auto"/>
          </w:divBdr>
          <w:divsChild>
            <w:div w:id="1509759760">
              <w:marLeft w:val="0"/>
              <w:marRight w:val="0"/>
              <w:marTop w:val="0"/>
              <w:marBottom w:val="0"/>
              <w:divBdr>
                <w:top w:val="none" w:sz="0" w:space="0" w:color="auto"/>
                <w:left w:val="none" w:sz="0" w:space="0" w:color="auto"/>
                <w:bottom w:val="none" w:sz="0" w:space="0" w:color="auto"/>
                <w:right w:val="none" w:sz="0" w:space="0" w:color="auto"/>
              </w:divBdr>
              <w:divsChild>
                <w:div w:id="548297109">
                  <w:marLeft w:val="0"/>
                  <w:marRight w:val="0"/>
                  <w:marTop w:val="0"/>
                  <w:marBottom w:val="0"/>
                  <w:divBdr>
                    <w:top w:val="none" w:sz="0" w:space="0" w:color="auto"/>
                    <w:left w:val="none" w:sz="0" w:space="0" w:color="auto"/>
                    <w:bottom w:val="none" w:sz="0" w:space="0" w:color="auto"/>
                    <w:right w:val="none" w:sz="0" w:space="0" w:color="auto"/>
                  </w:divBdr>
                  <w:divsChild>
                    <w:div w:id="1734113966">
                      <w:marLeft w:val="0"/>
                      <w:marRight w:val="0"/>
                      <w:marTop w:val="0"/>
                      <w:marBottom w:val="0"/>
                      <w:divBdr>
                        <w:top w:val="none" w:sz="0" w:space="0" w:color="auto"/>
                        <w:left w:val="none" w:sz="0" w:space="0" w:color="auto"/>
                        <w:bottom w:val="none" w:sz="0" w:space="0" w:color="auto"/>
                        <w:right w:val="none" w:sz="0" w:space="0" w:color="auto"/>
                      </w:divBdr>
                      <w:divsChild>
                        <w:div w:id="1635018155">
                          <w:marLeft w:val="0"/>
                          <w:marRight w:val="0"/>
                          <w:marTop w:val="0"/>
                          <w:marBottom w:val="0"/>
                          <w:divBdr>
                            <w:top w:val="none" w:sz="0" w:space="0" w:color="auto"/>
                            <w:left w:val="none" w:sz="0" w:space="0" w:color="auto"/>
                            <w:bottom w:val="none" w:sz="0" w:space="0" w:color="auto"/>
                            <w:right w:val="none" w:sz="0" w:space="0" w:color="auto"/>
                          </w:divBdr>
                          <w:divsChild>
                            <w:div w:id="1986084928">
                              <w:marLeft w:val="0"/>
                              <w:marRight w:val="0"/>
                              <w:marTop w:val="0"/>
                              <w:marBottom w:val="0"/>
                              <w:divBdr>
                                <w:top w:val="none" w:sz="0" w:space="0" w:color="auto"/>
                                <w:left w:val="none" w:sz="0" w:space="0" w:color="auto"/>
                                <w:bottom w:val="none" w:sz="0" w:space="0" w:color="auto"/>
                                <w:right w:val="none" w:sz="0" w:space="0" w:color="auto"/>
                              </w:divBdr>
                              <w:divsChild>
                                <w:div w:id="1024331513">
                                  <w:marLeft w:val="0"/>
                                  <w:marRight w:val="0"/>
                                  <w:marTop w:val="0"/>
                                  <w:marBottom w:val="0"/>
                                  <w:divBdr>
                                    <w:top w:val="none" w:sz="0" w:space="0" w:color="auto"/>
                                    <w:left w:val="none" w:sz="0" w:space="0" w:color="auto"/>
                                    <w:bottom w:val="none" w:sz="0" w:space="0" w:color="auto"/>
                                    <w:right w:val="none" w:sz="0" w:space="0" w:color="auto"/>
                                  </w:divBdr>
                                  <w:divsChild>
                                    <w:div w:id="968902492">
                                      <w:marLeft w:val="0"/>
                                      <w:marRight w:val="0"/>
                                      <w:marTop w:val="0"/>
                                      <w:marBottom w:val="0"/>
                                      <w:divBdr>
                                        <w:top w:val="none" w:sz="0" w:space="0" w:color="auto"/>
                                        <w:left w:val="none" w:sz="0" w:space="0" w:color="auto"/>
                                        <w:bottom w:val="none" w:sz="0" w:space="0" w:color="auto"/>
                                        <w:right w:val="none" w:sz="0" w:space="0" w:color="auto"/>
                                      </w:divBdr>
                                      <w:divsChild>
                                        <w:div w:id="74391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9377927">
      <w:bodyDiv w:val="1"/>
      <w:marLeft w:val="0"/>
      <w:marRight w:val="0"/>
      <w:marTop w:val="0"/>
      <w:marBottom w:val="0"/>
      <w:divBdr>
        <w:top w:val="none" w:sz="0" w:space="0" w:color="auto"/>
        <w:left w:val="none" w:sz="0" w:space="0" w:color="auto"/>
        <w:bottom w:val="none" w:sz="0" w:space="0" w:color="auto"/>
        <w:right w:val="none" w:sz="0" w:space="0" w:color="auto"/>
      </w:divBdr>
      <w:divsChild>
        <w:div w:id="900553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3525555">
      <w:bodyDiv w:val="1"/>
      <w:marLeft w:val="0"/>
      <w:marRight w:val="0"/>
      <w:marTop w:val="0"/>
      <w:marBottom w:val="0"/>
      <w:divBdr>
        <w:top w:val="none" w:sz="0" w:space="0" w:color="auto"/>
        <w:left w:val="none" w:sz="0" w:space="0" w:color="auto"/>
        <w:bottom w:val="none" w:sz="0" w:space="0" w:color="auto"/>
        <w:right w:val="none" w:sz="0" w:space="0" w:color="auto"/>
      </w:divBdr>
    </w:div>
    <w:div w:id="1195458080">
      <w:bodyDiv w:val="1"/>
      <w:marLeft w:val="0"/>
      <w:marRight w:val="0"/>
      <w:marTop w:val="0"/>
      <w:marBottom w:val="0"/>
      <w:divBdr>
        <w:top w:val="none" w:sz="0" w:space="0" w:color="auto"/>
        <w:left w:val="none" w:sz="0" w:space="0" w:color="auto"/>
        <w:bottom w:val="none" w:sz="0" w:space="0" w:color="auto"/>
        <w:right w:val="none" w:sz="0" w:space="0" w:color="auto"/>
      </w:divBdr>
    </w:div>
    <w:div w:id="1247422116">
      <w:bodyDiv w:val="1"/>
      <w:marLeft w:val="0"/>
      <w:marRight w:val="0"/>
      <w:marTop w:val="0"/>
      <w:marBottom w:val="0"/>
      <w:divBdr>
        <w:top w:val="none" w:sz="0" w:space="0" w:color="auto"/>
        <w:left w:val="none" w:sz="0" w:space="0" w:color="auto"/>
        <w:bottom w:val="none" w:sz="0" w:space="0" w:color="auto"/>
        <w:right w:val="none" w:sz="0" w:space="0" w:color="auto"/>
      </w:divBdr>
    </w:div>
    <w:div w:id="1327972045">
      <w:bodyDiv w:val="1"/>
      <w:marLeft w:val="0"/>
      <w:marRight w:val="0"/>
      <w:marTop w:val="0"/>
      <w:marBottom w:val="0"/>
      <w:divBdr>
        <w:top w:val="none" w:sz="0" w:space="0" w:color="auto"/>
        <w:left w:val="none" w:sz="0" w:space="0" w:color="auto"/>
        <w:bottom w:val="none" w:sz="0" w:space="0" w:color="auto"/>
        <w:right w:val="none" w:sz="0" w:space="0" w:color="auto"/>
      </w:divBdr>
    </w:div>
    <w:div w:id="1338919750">
      <w:bodyDiv w:val="1"/>
      <w:marLeft w:val="0"/>
      <w:marRight w:val="0"/>
      <w:marTop w:val="0"/>
      <w:marBottom w:val="0"/>
      <w:divBdr>
        <w:top w:val="none" w:sz="0" w:space="0" w:color="auto"/>
        <w:left w:val="none" w:sz="0" w:space="0" w:color="auto"/>
        <w:bottom w:val="none" w:sz="0" w:space="0" w:color="auto"/>
        <w:right w:val="none" w:sz="0" w:space="0" w:color="auto"/>
      </w:divBdr>
    </w:div>
    <w:div w:id="1410031580">
      <w:bodyDiv w:val="1"/>
      <w:marLeft w:val="0"/>
      <w:marRight w:val="0"/>
      <w:marTop w:val="0"/>
      <w:marBottom w:val="0"/>
      <w:divBdr>
        <w:top w:val="none" w:sz="0" w:space="0" w:color="auto"/>
        <w:left w:val="none" w:sz="0" w:space="0" w:color="auto"/>
        <w:bottom w:val="none" w:sz="0" w:space="0" w:color="auto"/>
        <w:right w:val="none" w:sz="0" w:space="0" w:color="auto"/>
      </w:divBdr>
    </w:div>
    <w:div w:id="1415476173">
      <w:bodyDiv w:val="1"/>
      <w:marLeft w:val="0"/>
      <w:marRight w:val="0"/>
      <w:marTop w:val="0"/>
      <w:marBottom w:val="0"/>
      <w:divBdr>
        <w:top w:val="none" w:sz="0" w:space="0" w:color="auto"/>
        <w:left w:val="none" w:sz="0" w:space="0" w:color="auto"/>
        <w:bottom w:val="none" w:sz="0" w:space="0" w:color="auto"/>
        <w:right w:val="none" w:sz="0" w:space="0" w:color="auto"/>
      </w:divBdr>
    </w:div>
    <w:div w:id="1667242460">
      <w:bodyDiv w:val="1"/>
      <w:marLeft w:val="0"/>
      <w:marRight w:val="0"/>
      <w:marTop w:val="0"/>
      <w:marBottom w:val="0"/>
      <w:divBdr>
        <w:top w:val="none" w:sz="0" w:space="0" w:color="auto"/>
        <w:left w:val="none" w:sz="0" w:space="0" w:color="auto"/>
        <w:bottom w:val="none" w:sz="0" w:space="0" w:color="auto"/>
        <w:right w:val="none" w:sz="0" w:space="0" w:color="auto"/>
      </w:divBdr>
    </w:div>
    <w:div w:id="1685325928">
      <w:bodyDiv w:val="1"/>
      <w:marLeft w:val="0"/>
      <w:marRight w:val="0"/>
      <w:marTop w:val="0"/>
      <w:marBottom w:val="0"/>
      <w:divBdr>
        <w:top w:val="none" w:sz="0" w:space="0" w:color="auto"/>
        <w:left w:val="none" w:sz="0" w:space="0" w:color="auto"/>
        <w:bottom w:val="none" w:sz="0" w:space="0" w:color="auto"/>
        <w:right w:val="none" w:sz="0" w:space="0" w:color="auto"/>
      </w:divBdr>
    </w:div>
    <w:div w:id="1799495673">
      <w:bodyDiv w:val="1"/>
      <w:marLeft w:val="0"/>
      <w:marRight w:val="0"/>
      <w:marTop w:val="0"/>
      <w:marBottom w:val="0"/>
      <w:divBdr>
        <w:top w:val="none" w:sz="0" w:space="0" w:color="auto"/>
        <w:left w:val="none" w:sz="0" w:space="0" w:color="auto"/>
        <w:bottom w:val="none" w:sz="0" w:space="0" w:color="auto"/>
        <w:right w:val="none" w:sz="0" w:space="0" w:color="auto"/>
      </w:divBdr>
    </w:div>
    <w:div w:id="1834030311">
      <w:bodyDiv w:val="1"/>
      <w:marLeft w:val="0"/>
      <w:marRight w:val="0"/>
      <w:marTop w:val="0"/>
      <w:marBottom w:val="0"/>
      <w:divBdr>
        <w:top w:val="none" w:sz="0" w:space="0" w:color="auto"/>
        <w:left w:val="none" w:sz="0" w:space="0" w:color="auto"/>
        <w:bottom w:val="none" w:sz="0" w:space="0" w:color="auto"/>
        <w:right w:val="none" w:sz="0" w:space="0" w:color="auto"/>
      </w:divBdr>
    </w:div>
    <w:div w:id="1995721677">
      <w:bodyDiv w:val="1"/>
      <w:marLeft w:val="0"/>
      <w:marRight w:val="0"/>
      <w:marTop w:val="0"/>
      <w:marBottom w:val="0"/>
      <w:divBdr>
        <w:top w:val="none" w:sz="0" w:space="0" w:color="auto"/>
        <w:left w:val="none" w:sz="0" w:space="0" w:color="auto"/>
        <w:bottom w:val="none" w:sz="0" w:space="0" w:color="auto"/>
        <w:right w:val="none" w:sz="0" w:space="0" w:color="auto"/>
      </w:divBdr>
    </w:div>
    <w:div w:id="2089158376">
      <w:bodyDiv w:val="1"/>
      <w:marLeft w:val="0"/>
      <w:marRight w:val="0"/>
      <w:marTop w:val="0"/>
      <w:marBottom w:val="0"/>
      <w:divBdr>
        <w:top w:val="none" w:sz="0" w:space="0" w:color="auto"/>
        <w:left w:val="none" w:sz="0" w:space="0" w:color="auto"/>
        <w:bottom w:val="none" w:sz="0" w:space="0" w:color="auto"/>
        <w:right w:val="none" w:sz="0" w:space="0" w:color="auto"/>
      </w:divBdr>
    </w:div>
    <w:div w:id="21000589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498B1-CF7D-4316-84FB-A6C8C3EE0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Pages>
  <Words>2374</Words>
  <Characters>13536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Dong Nguyen Thai</cp:lastModifiedBy>
  <cp:revision>8</cp:revision>
  <cp:lastPrinted>2026-03-10T03:10:00Z</cp:lastPrinted>
  <dcterms:created xsi:type="dcterms:W3CDTF">2026-03-10T03:55:00Z</dcterms:created>
  <dcterms:modified xsi:type="dcterms:W3CDTF">2026-03-20T08:23:00Z</dcterms:modified>
</cp:coreProperties>
</file>