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F0A3" w14:textId="77777777" w:rsidR="00F75EA4" w:rsidRDefault="00F75E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76B5F14" w14:textId="77777777" w:rsidR="00F75EA4" w:rsidRDefault="00743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 CHẾ LÀM VIỆC TRƯỜNG THCS NGUYỄN QUÝ ĐỨC</w:t>
      </w:r>
    </w:p>
    <w:p w14:paraId="0D2B4F25" w14:textId="2B12119C" w:rsidR="00F75EA4" w:rsidRDefault="00743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NĂM HỌC </w:t>
      </w:r>
      <w:r w:rsidR="00712DE1">
        <w:rPr>
          <w:rFonts w:ascii="Times New Roman" w:eastAsia="Times New Roman" w:hAnsi="Times New Roman" w:cs="Times New Roman"/>
          <w:b/>
          <w:sz w:val="28"/>
          <w:szCs w:val="28"/>
        </w:rPr>
        <w:t>2025 - 2026</w:t>
      </w:r>
    </w:p>
    <w:p w14:paraId="5187FFDA" w14:textId="2ED87BCE" w:rsidR="00F75EA4" w:rsidRDefault="00743F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(Ban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kèm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…/QĐ – THCSNQĐ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ngày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202</w:t>
      </w:r>
      <w:r w:rsidR="00712D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696F3DFC" w14:textId="77777777" w:rsidR="00F75EA4" w:rsidRDefault="00F7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A9ED0C" w14:textId="77777777" w:rsidR="00F75EA4" w:rsidRDefault="00743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CHƯƠNG I</w:t>
      </w:r>
    </w:p>
    <w:p w14:paraId="70F7D2E7" w14:textId="77777777" w:rsidR="00F75EA4" w:rsidRDefault="00743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NHỮNG QUY ĐỊNH CHUNG</w:t>
      </w:r>
    </w:p>
    <w:p w14:paraId="6E62D755" w14:textId="77777777" w:rsidR="00F75EA4" w:rsidRDefault="00F7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EBDBFA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Phạm vi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362E8A6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Quy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Các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14/6/2019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Thông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32/2020/TT-BGDĐT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84188D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Nguyên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việc</w:t>
      </w:r>
      <w:proofErr w:type="spellEnd"/>
    </w:p>
    <w:p w14:paraId="2AAE9072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="00E15465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5E83A3D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1.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0EDAF3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BGH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HĐSP.</w:t>
      </w:r>
    </w:p>
    <w:p w14:paraId="09F27D3D" w14:textId="4C960797" w:rsidR="00597BAD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2DE1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="00712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2DE1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UBND </w:t>
      </w:r>
      <w:proofErr w:type="spellStart"/>
      <w:r w:rsidR="00712DE1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2DE1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GD&amp;ĐT</w:t>
      </w:r>
      <w:r w:rsidR="00712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Hà </w:t>
      </w:r>
      <w:proofErr w:type="spellStart"/>
      <w:r w:rsidR="00712DE1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BB4249" w14:textId="77777777" w:rsidR="00F75EA4" w:rsidRDefault="00597BAD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Trong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Công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  5.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tuân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EABC0B" w14:textId="77777777" w:rsidR="00F75EA4" w:rsidRDefault="00E15465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*</w:t>
      </w:r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</w:p>
    <w:p w14:paraId="703CBD72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97BA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3CBB3E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597BA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E82B0A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97BA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C7FF98" w14:textId="77777777" w:rsidR="00F75EA4" w:rsidRDefault="00EC059A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97BA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bạch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743F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A51F59" w14:textId="77777777" w:rsidR="00EC059A" w:rsidRPr="005E2C8E" w:rsidRDefault="00EC059A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97BAD"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36/2018/QH14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20/11/2018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”;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33-CT/TW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03/01/2024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14:paraId="06B0447F" w14:textId="77777777" w:rsidR="00EC059A" w:rsidRDefault="00EC059A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97BAD"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Liêm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Mỗ</w:t>
      </w:r>
      <w:proofErr w:type="spellEnd"/>
      <w:r w:rsidRPr="005E2C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40613A" w14:textId="77777777" w:rsidR="00F75EA4" w:rsidRPr="00E15465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3: </w:t>
      </w:r>
      <w:proofErr w:type="spellStart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Sử</w:t>
      </w:r>
      <w:proofErr w:type="spellEnd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dụng</w:t>
      </w:r>
      <w:proofErr w:type="spellEnd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tiện</w:t>
      </w:r>
      <w:proofErr w:type="spellEnd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tài</w:t>
      </w:r>
      <w:proofErr w:type="spellEnd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sản</w:t>
      </w:r>
      <w:proofErr w:type="spellEnd"/>
    </w:p>
    <w:p w14:paraId="47DEC48A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26AD23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CCEABD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đẹp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561206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FE6752" w14:textId="77777777" w:rsidR="00F75EA4" w:rsidRDefault="00743F62">
      <w:pPr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50CE60EC" w14:textId="77777777" w:rsidR="00F75EA4" w:rsidRDefault="00743F62">
      <w:pPr>
        <w:shd w:val="clear" w:color="auto" w:fill="FFFFFF"/>
        <w:spacing w:before="60"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CHƯƠNG II</w:t>
      </w:r>
    </w:p>
    <w:p w14:paraId="1869170D" w14:textId="77777777" w:rsidR="00F75EA4" w:rsidRDefault="00743F62" w:rsidP="00712DE1">
      <w:pPr>
        <w:shd w:val="clear" w:color="auto" w:fill="FFFFFF"/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CHẾ ĐỘ TRÁCH NHIỆM</w:t>
      </w:r>
    </w:p>
    <w:p w14:paraId="12A614FC" w14:textId="77777777" w:rsidR="00F75EA4" w:rsidRDefault="00743F62" w:rsidP="00712DE1">
      <w:pPr>
        <w:shd w:val="clear" w:color="auto" w:fill="FFFFFF"/>
        <w:spacing w:before="60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trưởng</w:t>
      </w:r>
      <w:proofErr w:type="spellEnd"/>
    </w:p>
    <w:p w14:paraId="087FB110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B8580E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16CF21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Trường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14E7C1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70B8484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E7BF02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976E4B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6F006B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1700C85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9D29B4" w14:textId="77777777" w:rsidR="00F75EA4" w:rsidRDefault="00743F62" w:rsidP="0071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559AA3" w14:textId="77777777" w:rsidR="00F75EA4" w:rsidRDefault="00743F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1A1431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trưởng</w:t>
      </w:r>
      <w:proofErr w:type="spellEnd"/>
    </w:p>
    <w:p w14:paraId="68855F63" w14:textId="77777777" w:rsidR="00F75EA4" w:rsidRDefault="00743F62">
      <w:pPr>
        <w:numPr>
          <w:ilvl w:val="0"/>
          <w:numId w:val="9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A943A9" w14:textId="77777777" w:rsidR="00F75EA4" w:rsidRDefault="00743F62">
      <w:pPr>
        <w:numPr>
          <w:ilvl w:val="0"/>
          <w:numId w:val="9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959D68" w14:textId="77777777" w:rsidR="00F75EA4" w:rsidRDefault="00743F6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C49804" w14:textId="77777777" w:rsidR="00F75EA4" w:rsidRDefault="00743F6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08A765" w14:textId="77777777" w:rsidR="00F75EA4" w:rsidRDefault="00743F62">
      <w:pPr>
        <w:shd w:val="clear" w:color="auto" w:fill="FFFFFF"/>
        <w:spacing w:before="144" w:after="0" w:line="28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10AB4A5" w14:textId="77777777" w:rsidR="00F75EA4" w:rsidRDefault="00743F62">
      <w:pPr>
        <w:shd w:val="clear" w:color="auto" w:fill="FFFFFF"/>
        <w:spacing w:before="144" w:after="0" w:line="288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C0E773" w14:textId="77777777" w:rsidR="00F75EA4" w:rsidRDefault="00743F62">
      <w:pPr>
        <w:shd w:val="clear" w:color="auto" w:fill="FFFFFF"/>
        <w:spacing w:before="144" w:after="0" w:line="288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D7BE186" w14:textId="77777777" w:rsidR="00F75EA4" w:rsidRDefault="00743F62">
      <w:pPr>
        <w:shd w:val="clear" w:color="auto" w:fill="FFFFFF"/>
        <w:spacing w:before="144" w:after="0" w:line="288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Trường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8794BE" w14:textId="77777777" w:rsidR="00F75EA4" w:rsidRDefault="00743F62">
      <w:pPr>
        <w:shd w:val="clear" w:color="auto" w:fill="FFFFFF"/>
        <w:spacing w:before="144" w:after="0" w:line="288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621D4E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15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F0B22D5" w14:textId="77777777" w:rsidR="00F75EA4" w:rsidRDefault="00743F62">
      <w:pPr>
        <w:shd w:val="clear" w:color="auto" w:fill="FFFFFF"/>
        <w:spacing w:before="144" w:after="0" w:line="288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443BFD" w14:textId="77777777" w:rsidR="00F75EA4" w:rsidRDefault="00743F62">
      <w:pPr>
        <w:shd w:val="clear" w:color="auto" w:fill="FFFFFF"/>
        <w:spacing w:before="144" w:after="0" w:line="288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BE476D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C71DBB" w14:textId="77777777" w:rsidR="00F75EA4" w:rsidRDefault="00743F6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trưởng</w:t>
      </w:r>
      <w:proofErr w:type="spellEnd"/>
    </w:p>
    <w:p w14:paraId="58CC4F98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- Hiệu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Đ/c Đỗ Thị Xuân</w:t>
      </w:r>
    </w:p>
    <w:p w14:paraId="3116710E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</w:p>
    <w:p w14:paraId="44FC0312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Quy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14:paraId="130EB357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Thành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602D65D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Quản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E68BBF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Quản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8BEFB0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Quản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76E97C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E81CE1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A8AD9F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1963FD" w14:textId="77777777" w:rsidR="000721B5" w:rsidRDefault="000721B5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1D8F5F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Đ/c Nguyễn Văn Trinh</w:t>
      </w:r>
    </w:p>
    <w:p w14:paraId="2A11EB4E" w14:textId="77777777" w:rsidR="00F75EA4" w:rsidRPr="00E15465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+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Thực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hiện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và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chịu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trách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nhiệm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trước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Hiệu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trưởng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về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nhiệm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vụ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Hiệu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trưởng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phân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công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;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Cùng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với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hiệu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trưởng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chịu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trách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nhiệm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với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cấp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trên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về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phần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việc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được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giao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0C7CE73B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HSG;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BF7862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7A190D" w14:textId="77777777" w:rsidR="00F75EA4" w:rsidRPr="00E15465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+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Chỉ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đạo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công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tác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Đoàn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đội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triển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khai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thực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hiện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các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hoạt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động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văn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hóa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văn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nghệ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thể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dục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thể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thao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trong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đơn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vị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và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một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spacing w:val="-4"/>
          <w:sz w:val="28"/>
          <w:szCs w:val="28"/>
        </w:rPr>
        <w:t>số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công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tác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khác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do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hiệu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trưởng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phân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công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211FCC36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+ Thay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E9E7D8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môn</w:t>
      </w:r>
      <w:proofErr w:type="spellEnd"/>
    </w:p>
    <w:p w14:paraId="37702B1A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Tất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53251EB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7D9D87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C11393B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CD6992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GDĐT;</w:t>
      </w:r>
    </w:p>
    <w:p w14:paraId="0257D76A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GDĐT.</w:t>
      </w:r>
    </w:p>
    <w:p w14:paraId="7EEFBB05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E6B3E4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901329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E29FC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="003E2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E29FC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3BE3DD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8. </w:t>
      </w:r>
      <w:r w:rsidR="00F73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73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Bộ</w:t>
      </w:r>
      <w:proofErr w:type="spellEnd"/>
      <w:r w:rsidR="00F73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73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phận</w:t>
      </w:r>
      <w:proofErr w:type="spellEnd"/>
      <w:r w:rsidR="00F73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73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phòng</w:t>
      </w:r>
      <w:proofErr w:type="spellEnd"/>
    </w:p>
    <w:p w14:paraId="14A15234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DB6239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53D191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9BA828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8EFBF1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643EAA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C4F22C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Quản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8B69D5" w14:textId="77777777" w:rsidR="00856D1D" w:rsidRDefault="00856D1D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Văn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đôn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đốc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nộp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UBND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GDĐT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680724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E6C618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vụ</w:t>
      </w:r>
      <w:proofErr w:type="spellEnd"/>
    </w:p>
    <w:p w14:paraId="3C4A74A4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697D0A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EEAAB8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1836A0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7AF47389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013FB1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F51296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Thủ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toán</w:t>
      </w:r>
      <w:proofErr w:type="spellEnd"/>
    </w:p>
    <w:p w14:paraId="7DD6E18D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ra.</w:t>
      </w:r>
      <w:proofErr w:type="spellEnd"/>
    </w:p>
    <w:p w14:paraId="3797CEFE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ECA7FC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Thường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F553D9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9E9BDA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CDC2F4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Hoàn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BCCC6D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3. Văn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phòng</w:t>
      </w:r>
      <w:proofErr w:type="spellEnd"/>
    </w:p>
    <w:p w14:paraId="14FB5DDF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ra.</w:t>
      </w:r>
      <w:proofErr w:type="spellEnd"/>
    </w:p>
    <w:p w14:paraId="0A4CF9A0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1118C9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Quản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F0B090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B23A1C" w14:textId="77777777" w:rsidR="00F75EA4" w:rsidRDefault="00743F6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6C2E0C" w14:textId="77777777" w:rsidR="00F75EA4" w:rsidRDefault="00743F6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</w:p>
    <w:p w14:paraId="652F4F16" w14:textId="77777777" w:rsidR="00F75EA4" w:rsidRDefault="00743F62">
      <w:pPr>
        <w:shd w:val="clear" w:color="auto" w:fill="FFFFFF"/>
        <w:spacing w:before="144"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2F9D8D4" w14:textId="77777777" w:rsidR="00F75EA4" w:rsidRDefault="00743F62">
      <w:pPr>
        <w:shd w:val="clear" w:color="auto" w:fill="FFFFFF"/>
        <w:spacing w:before="144"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600350D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vượt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000D1C" w14:textId="77777777" w:rsidR="00F75EA4" w:rsidRDefault="00743F62">
      <w:pPr>
        <w:shd w:val="clear" w:color="auto" w:fill="FFFFFF"/>
        <w:spacing w:before="144"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A03DFC3" w14:textId="77777777" w:rsidR="00F75EA4" w:rsidRDefault="00743F62">
      <w:pPr>
        <w:shd w:val="clear" w:color="auto" w:fill="FFFFFF"/>
        <w:spacing w:before="144"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AC0797" w14:textId="77777777" w:rsidR="00F75EA4" w:rsidRDefault="00743F62">
      <w:pPr>
        <w:shd w:val="clear" w:color="auto" w:fill="FFFFFF"/>
        <w:spacing w:before="144"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Thường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FAC1E32" w14:textId="77777777" w:rsidR="00F75EA4" w:rsidRDefault="00743F62">
      <w:pPr>
        <w:shd w:val="clear" w:color="auto" w:fill="FFFFFF"/>
        <w:spacing w:before="144"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90F4532" w14:textId="77777777" w:rsidR="00F75EA4" w:rsidRDefault="00743F62">
      <w:pPr>
        <w:shd w:val="clear" w:color="auto" w:fill="FFFFFF"/>
        <w:spacing w:before="144"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Trường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DE71B3" w14:textId="77777777" w:rsidR="00F75EA4" w:rsidRDefault="00743F62">
      <w:pPr>
        <w:shd w:val="clear" w:color="auto" w:fill="FFFFFF"/>
        <w:spacing w:before="144"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BC8E0A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</w:p>
    <w:p w14:paraId="2DA1B6FA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</w:p>
    <w:p w14:paraId="2FF56824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A90651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Trau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643815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C82B6A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36344F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THCS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819A62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0C79B8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TNCSHCM,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TNTPHCM,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LHTNVN,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A652B2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5BF621C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</w:p>
    <w:p w14:paraId="7A23B84A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761F335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3BC09B4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Đoàn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CD02E0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hè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6F425F6" w14:textId="77777777" w:rsidR="00F75EA4" w:rsidRDefault="00743F62">
      <w:pPr>
        <w:shd w:val="clear" w:color="auto" w:fill="FFFFFF"/>
        <w:spacing w:before="144"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Báo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3F613F5C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Đoàn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Đoàn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Đoàn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C882F8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GDNGLL,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THTT-HSTC.</w:t>
      </w:r>
    </w:p>
    <w:p w14:paraId="77550FB3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</w:p>
    <w:p w14:paraId="15483B4B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176A11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4CBC09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Quản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D65F09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08DE32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40FCCF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6. 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2F401C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7.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BB1A68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F0F660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11. Quyền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</w:p>
    <w:p w14:paraId="02289E9D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B59A96D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C5A3DF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2C9AB8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387695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2A27FE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hè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4D0A7A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979D92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284CD2C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BFD073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8AC9FD8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7D1A08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5C626D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38A7F1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vi,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E8FB92B" w14:textId="77777777" w:rsidR="00F75EA4" w:rsidRDefault="00743F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ABF80C2" w14:textId="77777777" w:rsidR="00F75EA4" w:rsidRDefault="00743F62">
      <w:pPr>
        <w:shd w:val="clear" w:color="auto" w:fill="FFFFFF"/>
        <w:spacing w:before="144" w:after="0" w:line="288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Lợi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BB8006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2B2F16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Nam.</w:t>
      </w:r>
    </w:p>
    <w:p w14:paraId="5EBA2EB7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chèn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9F0683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C995E0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877463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Hút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rượu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88D4C7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…Trong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rung;</w:t>
      </w:r>
    </w:p>
    <w:p w14:paraId="5957B5D3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E75033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FC6143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2C0BAC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Trang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C8B881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5AD95F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13: Quy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luật</w:t>
      </w:r>
      <w:proofErr w:type="spellEnd"/>
    </w:p>
    <w:p w14:paraId="4851E74E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23745B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337272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BA3969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4. Trung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393B40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tung tin,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A2D262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6D9BB1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tin….)</w:t>
      </w:r>
    </w:p>
    <w:p w14:paraId="51FAC7F1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D53EF2" w14:textId="77777777" w:rsidR="00F75EA4" w:rsidRDefault="00743F62">
      <w:pPr>
        <w:spacing w:before="6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DC8DF3" w14:textId="77777777" w:rsidR="00E15465" w:rsidRDefault="00E15465">
      <w:pPr>
        <w:shd w:val="clear" w:color="auto" w:fill="FFFFFF"/>
        <w:spacing w:before="144"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3E7A6C" w14:textId="77777777" w:rsidR="00F75EA4" w:rsidRDefault="00743F62">
      <w:pPr>
        <w:shd w:val="clear" w:color="auto" w:fill="FFFFFF"/>
        <w:spacing w:before="144"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CHƯƠNG III</w:t>
      </w:r>
    </w:p>
    <w:p w14:paraId="52EB3E3A" w14:textId="77777777" w:rsidR="00F75EA4" w:rsidRDefault="00743F62">
      <w:pPr>
        <w:shd w:val="clear" w:color="auto" w:fill="FFFFFF"/>
        <w:spacing w:before="144"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 MỐI QUAN HỆ</w:t>
      </w:r>
    </w:p>
    <w:p w14:paraId="25BF0B5E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Quan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</w:p>
    <w:p w14:paraId="2D23D5E3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Đoàn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D13CE8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15. Quan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</w:p>
    <w:p w14:paraId="401A6926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</w:t>
      </w:r>
    </w:p>
    <w:p w14:paraId="50409A9D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97861A2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A467391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CC7B35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9F9211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2115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16. Quan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Đoàn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</w:p>
    <w:p w14:paraId="7AB39314" w14:textId="77777777" w:rsidR="00F75EA4" w:rsidRPr="00E15465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Quan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hệ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với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các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tổ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chức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Đoàn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thể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trong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nhà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trường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là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quan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hệ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phối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hợp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và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liên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tịch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561E5EAD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CĐCS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CĐCS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22E8CA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Liên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497455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Liên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Đoàn 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Liên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CM, Công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BCH CĐCS, BCH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TN.</w:t>
      </w:r>
    </w:p>
    <w:p w14:paraId="7100D0BF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55107E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17. Quan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cha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sinh</w:t>
      </w:r>
      <w:proofErr w:type="spellEnd"/>
    </w:p>
    <w:p w14:paraId="25669B33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UBND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Đào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Thường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5CBCCE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C41D67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18: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dân</w:t>
      </w:r>
      <w:proofErr w:type="spellEnd"/>
    </w:p>
    <w:p w14:paraId="4AA8C7EB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0A517F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Giao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E547C8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nhiễu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hẹn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FFAAE8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dọa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CMHS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4C6BAA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Nghiêm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sót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CB0305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3F9B61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tang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</w:p>
    <w:p w14:paraId="4F38936E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7CCFD5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xúi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3DF54B" w14:textId="77777777" w:rsidR="00F75EA4" w:rsidRDefault="00743F62">
      <w:pPr>
        <w:shd w:val="clear" w:color="auto" w:fill="FFFFFF"/>
        <w:spacing w:before="144"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CHƯƠNG IV</w:t>
      </w:r>
    </w:p>
    <w:p w14:paraId="1EF83310" w14:textId="77777777" w:rsidR="00F75EA4" w:rsidRDefault="00743F62">
      <w:pPr>
        <w:shd w:val="clear" w:color="auto" w:fill="FFFFFF"/>
        <w:spacing w:before="144"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NGUYÊN TẮC, CHẾ ĐỘ HỘI HỌP, LÀM VIỆC, THÔNG TIN, BÁO CÁO</w:t>
      </w:r>
    </w:p>
    <w:p w14:paraId="32CBA72F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19. Nguyên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việc</w:t>
      </w:r>
      <w:proofErr w:type="spellEnd"/>
    </w:p>
    <w:p w14:paraId="49D97CA8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9016EB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CBFFB4" w14:textId="77777777" w:rsidR="00F75EA4" w:rsidRDefault="00743F62">
      <w:pPr>
        <w:shd w:val="clear" w:color="auto" w:fill="FFFFFF"/>
        <w:spacing w:before="144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Đoàn,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Đoàn 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1D5710" w14:textId="77777777" w:rsidR="00F75EA4" w:rsidRPr="002115B8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</w:t>
      </w:r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Quy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15B8" w:rsidRPr="002115B8">
        <w:rPr>
          <w:rFonts w:ascii="Times New Roman" w:eastAsia="Times New Roman" w:hAnsi="Times New Roman" w:cs="Times New Roman"/>
          <w:color w:val="000000"/>
          <w:sz w:val="28"/>
          <w:szCs w:val="28"/>
        </w:rPr>
        <w:t>10/</w:t>
      </w:r>
      <w:r w:rsidR="002115B8" w:rsidRPr="002115B8">
        <w:rPr>
          <w:rFonts w:ascii="Times New Roman" w:hAnsi="Times New Roman"/>
          <w:color w:val="000000"/>
          <w:spacing w:val="-6"/>
          <w:sz w:val="28"/>
          <w:szCs w:val="28"/>
        </w:rPr>
        <w:t xml:space="preserve">10/2022/QH15 </w:t>
      </w:r>
      <w:proofErr w:type="spellStart"/>
      <w:r w:rsidR="002115B8" w:rsidRPr="002115B8">
        <w:rPr>
          <w:rFonts w:ascii="Times New Roman" w:hAnsi="Times New Roman"/>
          <w:color w:val="000000"/>
          <w:spacing w:val="-6"/>
          <w:sz w:val="28"/>
          <w:szCs w:val="28"/>
        </w:rPr>
        <w:t>và</w:t>
      </w:r>
      <w:proofErr w:type="spellEnd"/>
      <w:r w:rsidR="002115B8" w:rsidRPr="002115B8">
        <w:rPr>
          <w:rFonts w:ascii="Times New Roman" w:hAnsi="Times New Roman"/>
          <w:color w:val="000000"/>
          <w:spacing w:val="-6"/>
          <w:sz w:val="28"/>
          <w:szCs w:val="28"/>
        </w:rPr>
        <w:t xml:space="preserve"> Thông </w:t>
      </w:r>
      <w:proofErr w:type="spellStart"/>
      <w:r w:rsidR="002115B8" w:rsidRPr="002115B8">
        <w:rPr>
          <w:rFonts w:ascii="Times New Roman" w:hAnsi="Times New Roman"/>
          <w:color w:val="000000"/>
          <w:spacing w:val="-6"/>
          <w:sz w:val="28"/>
          <w:szCs w:val="28"/>
        </w:rPr>
        <w:t>tư</w:t>
      </w:r>
      <w:proofErr w:type="spellEnd"/>
      <w:r w:rsidR="002115B8" w:rsidRPr="002115B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2115B8" w:rsidRPr="002115B8">
        <w:rPr>
          <w:rFonts w:ascii="Times New Roman" w:hAnsi="Times New Roman"/>
          <w:sz w:val="28"/>
          <w:szCs w:val="28"/>
        </w:rPr>
        <w:t>số</w:t>
      </w:r>
      <w:proofErr w:type="spellEnd"/>
      <w:r w:rsidR="002115B8" w:rsidRPr="002115B8">
        <w:rPr>
          <w:rFonts w:ascii="Times New Roman" w:hAnsi="Times New Roman"/>
          <w:sz w:val="28"/>
          <w:szCs w:val="28"/>
        </w:rPr>
        <w:t xml:space="preserve"> 11/2020/TT-BGDĐT</w:t>
      </w:r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về</w:t>
      </w:r>
      <w:proofErr w:type="spellEnd"/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hướng</w:t>
      </w:r>
      <w:proofErr w:type="spellEnd"/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dẫn</w:t>
      </w:r>
      <w:proofErr w:type="spellEnd"/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thực</w:t>
      </w:r>
      <w:proofErr w:type="spellEnd"/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hiện</w:t>
      </w:r>
      <w:proofErr w:type="spellEnd"/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dân</w:t>
      </w:r>
      <w:proofErr w:type="spellEnd"/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chủ</w:t>
      </w:r>
      <w:proofErr w:type="spellEnd"/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tại</w:t>
      </w:r>
      <w:proofErr w:type="spellEnd"/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cơ</w:t>
      </w:r>
      <w:proofErr w:type="spellEnd"/>
      <w:r w:rsidR="002115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5B8">
        <w:rPr>
          <w:rFonts w:ascii="Times New Roman" w:hAnsi="Times New Roman"/>
          <w:sz w:val="28"/>
          <w:szCs w:val="28"/>
        </w:rPr>
        <w:t>sở</w:t>
      </w:r>
      <w:proofErr w:type="spellEnd"/>
      <w:r w:rsidR="002115B8">
        <w:rPr>
          <w:rFonts w:ascii="Times New Roman" w:hAnsi="Times New Roman"/>
          <w:sz w:val="28"/>
          <w:szCs w:val="28"/>
        </w:rPr>
        <w:t>.</w:t>
      </w:r>
    </w:p>
    <w:p w14:paraId="2EA1BCE8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họp</w:t>
      </w:r>
      <w:proofErr w:type="spellEnd"/>
    </w:p>
    <w:p w14:paraId="0DD8DDB0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(CB-VC)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BD4E67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</w:p>
    <w:p w14:paraId="2075985E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CB-GV-NV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A63048C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VP 02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3B243C1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GV TPT, BT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CTCĐCS.</w:t>
      </w:r>
    </w:p>
    <w:p w14:paraId="08DE153D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HT, PHT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E17BA2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50D1B7" w14:textId="77777777" w:rsidR="00F75EA4" w:rsidRPr="00E15465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Hội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đồng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thi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đua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khen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thưởng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họp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vào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đầu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năm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cuối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học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kỳ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I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và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cuối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năm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học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028A277C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Thường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đợt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1976E6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F30789" w14:textId="77777777" w:rsidR="00F75EA4" w:rsidRPr="00E15465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- Các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cuộc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họp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để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triển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khai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các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văn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bản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chỉ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thị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nghị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quyết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hoặc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họp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để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giải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quyết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những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công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việc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cấp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bách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của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trường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thì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không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nằm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trong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quy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định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của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điều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này</w:t>
      </w:r>
      <w:proofErr w:type="spellEnd"/>
      <w:r w:rsidRPr="00E154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7674E328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3B62A9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việc</w:t>
      </w:r>
      <w:proofErr w:type="spellEnd"/>
    </w:p>
    <w:p w14:paraId="6A44EFFE" w14:textId="77777777" w:rsidR="00F75EA4" w:rsidRDefault="00743F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B7D430" w14:textId="77777777" w:rsidR="00F75EA4" w:rsidRDefault="00743F62">
      <w:pPr>
        <w:numPr>
          <w:ilvl w:val="0"/>
          <w:numId w:val="3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Định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542B60" w14:textId="77777777" w:rsidR="00F75EA4" w:rsidRDefault="00743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CB-GV-NV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10D81F" w14:textId="77777777" w:rsidR="00F75EA4" w:rsidRDefault="00743F62">
      <w:pPr>
        <w:numPr>
          <w:ilvl w:val="0"/>
          <w:numId w:val="4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phút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3FD35C" w14:textId="77777777" w:rsidR="00F75EA4" w:rsidRDefault="00743F62">
      <w:pPr>
        <w:numPr>
          <w:ilvl w:val="0"/>
          <w:numId w:val="4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Khi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9C4FCF" w14:textId="77777777" w:rsidR="00F75EA4" w:rsidRDefault="00743F62">
      <w:pPr>
        <w:numPr>
          <w:ilvl w:val="0"/>
          <w:numId w:val="4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(CM, VP)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AE7472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khiếu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dân</w:t>
      </w:r>
      <w:proofErr w:type="spellEnd"/>
    </w:p>
    <w:p w14:paraId="0EB5EE64" w14:textId="77777777" w:rsidR="00F75EA4" w:rsidRDefault="00743F62">
      <w:pPr>
        <w:numPr>
          <w:ilvl w:val="0"/>
          <w:numId w:val="5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48735E9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Trường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2C25B5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Trường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AF402E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3E2417" w14:textId="77777777" w:rsidR="00F75EA4" w:rsidRDefault="00743F62">
      <w:pPr>
        <w:numPr>
          <w:ilvl w:val="0"/>
          <w:numId w:val="6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</w:p>
    <w:p w14:paraId="12FB6F2F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E515F8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88B844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vượt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11D521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2A3751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24. Thông tin,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2E990095" w14:textId="77777777" w:rsidR="00F75EA4" w:rsidRDefault="00743F62">
      <w:pPr>
        <w:numPr>
          <w:ilvl w:val="0"/>
          <w:numId w:val="7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B82C05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CC-VC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Khi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7D9821" w14:textId="77777777" w:rsidR="00F75EA4" w:rsidRDefault="00743F62">
      <w:pPr>
        <w:numPr>
          <w:ilvl w:val="0"/>
          <w:numId w:val="8"/>
        </w:num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F41FB6F" w14:textId="77777777" w:rsidR="00F75EA4" w:rsidRDefault="00743F62">
      <w:pPr>
        <w:shd w:val="clear" w:color="auto" w:fill="FFFFFF"/>
        <w:spacing w:before="144" w:after="0" w:line="288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Báo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157BC2D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GVCN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E1546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muộn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Văn Thư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HT.</w:t>
      </w:r>
    </w:p>
    <w:p w14:paraId="3DDABEB9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VP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GV, 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muộn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D397C7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TTCM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tin.</w:t>
      </w:r>
    </w:p>
    <w:p w14:paraId="4F72553B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Các TB (Ban LĐ, TDTT, PCGD, VH-XH-VN) TPT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HT; Văn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tin.</w:t>
      </w:r>
    </w:p>
    <w:p w14:paraId="703C8B27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VP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(TV, TB, YTHĐ, BV, KT, VT)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VP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tin.</w:t>
      </w:r>
    </w:p>
    <w:p w14:paraId="5DB34563" w14:textId="32AE1521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TTVP, VT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GD-ĐT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79C84C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b. CBVC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05E392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c. CBVC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F861AF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d. CB-VC Báo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GD-ĐT,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đợt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C843FA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e.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8E499A5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E7483F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ý.</w:t>
      </w:r>
    </w:p>
    <w:p w14:paraId="67CB9C16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2FD3EF" w14:textId="77777777" w:rsidR="00F75EA4" w:rsidRDefault="00743F62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Thông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E2266F" w14:textId="77777777" w:rsidR="00F75EA4" w:rsidRPr="00267093" w:rsidRDefault="00743F62" w:rsidP="0026709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+ Qua tin 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nhắn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điều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hành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SMS do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eNetViet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cung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cấp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qua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hộp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thư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điện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tử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cá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nhân</w:t>
      </w:r>
      <w:proofErr w:type="spellEnd"/>
      <w:r w:rsidRPr="0026709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20E9230E" w14:textId="77777777" w:rsidR="00E15465" w:rsidRDefault="00743F62" w:rsidP="00E15465">
      <w:pPr>
        <w:shd w:val="clear" w:color="auto" w:fill="FFFFFF"/>
        <w:spacing w:before="144"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+ Công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CBVC.</w:t>
      </w:r>
    </w:p>
    <w:p w14:paraId="2AF28270" w14:textId="77777777" w:rsidR="00F75EA4" w:rsidRDefault="00743F62" w:rsidP="00E15465">
      <w:pPr>
        <w:shd w:val="clear" w:color="auto" w:fill="FFFFFF"/>
        <w:spacing w:before="144" w:after="0" w:line="288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CHƯƠNG V</w:t>
      </w:r>
    </w:p>
    <w:p w14:paraId="3482DEED" w14:textId="77777777" w:rsidR="00F75EA4" w:rsidRDefault="00743F62">
      <w:pPr>
        <w:shd w:val="clear" w:color="auto" w:fill="FFFFFF"/>
        <w:spacing w:before="144"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TỔ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THỰC HIỆN</w:t>
      </w:r>
    </w:p>
    <w:p w14:paraId="1BAEF494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23.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khoản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</w:p>
    <w:p w14:paraId="21E99A60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Quy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D408BA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5F95B8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FF9EFE" w14:textId="77777777" w:rsidR="00F75EA4" w:rsidRDefault="00743F62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Quy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CB-VC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CB-VC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2/3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./.</w:t>
      </w:r>
    </w:p>
    <w:p w14:paraId="28834686" w14:textId="77777777" w:rsidR="00F75EA4" w:rsidRDefault="00743F62" w:rsidP="00E15465">
      <w:pPr>
        <w:shd w:val="clear" w:color="auto" w:fill="FFFFFF"/>
        <w:spacing w:before="144"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                                                                  HIỆU TRƯỞNG</w:t>
      </w:r>
    </w:p>
    <w:p w14:paraId="4F354AC3" w14:textId="77777777" w:rsidR="00F75EA4" w:rsidRDefault="00743F62">
      <w:pPr>
        <w:tabs>
          <w:tab w:val="left" w:pos="6525"/>
        </w:tabs>
        <w:spacing w:before="60"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</w:t>
      </w:r>
    </w:p>
    <w:sectPr w:rsidR="00F75EA4" w:rsidSect="00267093">
      <w:headerReference w:type="default" r:id="rId8"/>
      <w:footerReference w:type="default" r:id="rId9"/>
      <w:pgSz w:w="12240" w:h="15840"/>
      <w:pgMar w:top="1134" w:right="1134" w:bottom="96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F73E" w14:textId="77777777" w:rsidR="002A2AB4" w:rsidRDefault="002A2AB4">
      <w:pPr>
        <w:spacing w:after="0" w:line="240" w:lineRule="auto"/>
      </w:pPr>
      <w:r>
        <w:separator/>
      </w:r>
    </w:p>
  </w:endnote>
  <w:endnote w:type="continuationSeparator" w:id="0">
    <w:p w14:paraId="4C4DB3FA" w14:textId="77777777" w:rsidR="002A2AB4" w:rsidRDefault="002A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7EF7" w14:textId="77777777" w:rsidR="00F75EA4" w:rsidRDefault="00F75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22F2C07E" w14:textId="77777777" w:rsidR="00F75EA4" w:rsidRDefault="00F75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7AC2" w14:textId="77777777" w:rsidR="002A2AB4" w:rsidRDefault="002A2AB4">
      <w:pPr>
        <w:spacing w:after="0" w:line="240" w:lineRule="auto"/>
      </w:pPr>
      <w:r>
        <w:separator/>
      </w:r>
    </w:p>
  </w:footnote>
  <w:footnote w:type="continuationSeparator" w:id="0">
    <w:p w14:paraId="6D702940" w14:textId="77777777" w:rsidR="002A2AB4" w:rsidRDefault="002A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F02B" w14:textId="77777777" w:rsidR="00F75EA4" w:rsidRDefault="00743F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15B8">
      <w:rPr>
        <w:noProof/>
        <w:color w:val="000000"/>
      </w:rPr>
      <w:t>17</w:t>
    </w:r>
    <w:r>
      <w:rPr>
        <w:color w:val="000000"/>
      </w:rPr>
      <w:fldChar w:fldCharType="end"/>
    </w:r>
  </w:p>
  <w:p w14:paraId="463D93BD" w14:textId="77777777" w:rsidR="00F75EA4" w:rsidRDefault="00F75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4860"/>
    <w:multiLevelType w:val="multilevel"/>
    <w:tmpl w:val="BF549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2779E3"/>
    <w:multiLevelType w:val="multilevel"/>
    <w:tmpl w:val="88803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35014"/>
    <w:multiLevelType w:val="multilevel"/>
    <w:tmpl w:val="9964280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AC76C9B"/>
    <w:multiLevelType w:val="multilevel"/>
    <w:tmpl w:val="76C25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2CB756D"/>
    <w:multiLevelType w:val="multilevel"/>
    <w:tmpl w:val="4502BA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4317CBF"/>
    <w:multiLevelType w:val="multilevel"/>
    <w:tmpl w:val="D8723EA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86401FF"/>
    <w:multiLevelType w:val="multilevel"/>
    <w:tmpl w:val="821E2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C534490"/>
    <w:multiLevelType w:val="multilevel"/>
    <w:tmpl w:val="0EDE9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E402901"/>
    <w:multiLevelType w:val="multilevel"/>
    <w:tmpl w:val="91F4D19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76329863">
    <w:abstractNumId w:val="1"/>
  </w:num>
  <w:num w:numId="2" w16cid:durableId="1034355180">
    <w:abstractNumId w:val="6"/>
  </w:num>
  <w:num w:numId="3" w16cid:durableId="2106995751">
    <w:abstractNumId w:val="7"/>
  </w:num>
  <w:num w:numId="4" w16cid:durableId="753281108">
    <w:abstractNumId w:val="2"/>
  </w:num>
  <w:num w:numId="5" w16cid:durableId="1520436140">
    <w:abstractNumId w:val="0"/>
  </w:num>
  <w:num w:numId="6" w16cid:durableId="357244956">
    <w:abstractNumId w:val="8"/>
  </w:num>
  <w:num w:numId="7" w16cid:durableId="1236354495">
    <w:abstractNumId w:val="3"/>
  </w:num>
  <w:num w:numId="8" w16cid:durableId="1843231312">
    <w:abstractNumId w:val="4"/>
  </w:num>
  <w:num w:numId="9" w16cid:durableId="1677614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EA4"/>
    <w:rsid w:val="000721B5"/>
    <w:rsid w:val="000B2CE6"/>
    <w:rsid w:val="002115B8"/>
    <w:rsid w:val="00227249"/>
    <w:rsid w:val="002523A7"/>
    <w:rsid w:val="00267093"/>
    <w:rsid w:val="002A2AB4"/>
    <w:rsid w:val="002F70E3"/>
    <w:rsid w:val="003E29FC"/>
    <w:rsid w:val="00597BAD"/>
    <w:rsid w:val="005E2C8E"/>
    <w:rsid w:val="00712DE1"/>
    <w:rsid w:val="00743F62"/>
    <w:rsid w:val="00856D1D"/>
    <w:rsid w:val="00987E41"/>
    <w:rsid w:val="00CD13CC"/>
    <w:rsid w:val="00D64DE4"/>
    <w:rsid w:val="00E15465"/>
    <w:rsid w:val="00EC059A"/>
    <w:rsid w:val="00F457B4"/>
    <w:rsid w:val="00F73056"/>
    <w:rsid w:val="00F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5354"/>
  <w15:docId w15:val="{331D87AB-CD10-4E1A-B72B-8DC55380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58"/>
  </w:style>
  <w:style w:type="paragraph" w:styleId="Heading1">
    <w:name w:val="heading 1"/>
    <w:basedOn w:val="Normal"/>
    <w:link w:val="Heading1Char"/>
    <w:uiPriority w:val="9"/>
    <w:qFormat/>
    <w:rsid w:val="00C35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C357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idungtin">
    <w:name w:val="noidungtin"/>
    <w:basedOn w:val="Normal"/>
    <w:rsid w:val="0065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1A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1ADF"/>
  </w:style>
  <w:style w:type="character" w:styleId="Emphasis">
    <w:name w:val="Emphasis"/>
    <w:basedOn w:val="DefaultParagraphFont"/>
    <w:uiPriority w:val="20"/>
    <w:qFormat/>
    <w:rsid w:val="00651AD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357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357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7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DC"/>
  </w:style>
  <w:style w:type="paragraph" w:styleId="Footer">
    <w:name w:val="footer"/>
    <w:basedOn w:val="Normal"/>
    <w:link w:val="FooterChar"/>
    <w:uiPriority w:val="99"/>
    <w:unhideWhenUsed/>
    <w:rsid w:val="0001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DC"/>
  </w:style>
  <w:style w:type="paragraph" w:styleId="BodyText3">
    <w:name w:val="Body Text 3"/>
    <w:basedOn w:val="Normal"/>
    <w:link w:val="BodyText3Char"/>
    <w:rsid w:val="008E2E12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E2E12"/>
    <w:rPr>
      <w:rFonts w:ascii=".VnTime" w:eastAsia="Times New Roman" w:hAnsi=".VnTime" w:cs="Times New Roman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1Ux57fZ2jTlqH5nol2/s+vCUYw==">CgMxLjAyCGguZ2pkZ3hzOAByITFKdlBPUE5TZEFoNzVWZE1IYnU0Yjg4Yktmd1dZcl9SZQ==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5301</Words>
  <Characters>30216</Characters>
  <Application>Microsoft Office Word</Application>
  <DocSecurity>0</DocSecurity>
  <Lines>251</Lines>
  <Paragraphs>70</Paragraphs>
  <ScaleCrop>false</ScaleCrop>
  <Company/>
  <LinksUpToDate>false</LinksUpToDate>
  <CharactersWithSpaces>35447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Thị Xuân Đỗ</cp:lastModifiedBy>
  <cp:revision>17</cp:revision>
  <cp:lastPrinted>2024-07-27T03:11:00Z</cp:lastPrinted>
  <dcterms:created xsi:type="dcterms:W3CDTF">2017-03-03T07:33:00Z</dcterms:created>
  <dcterms:modified xsi:type="dcterms:W3CDTF">2025-10-09T08:53:00Z</dcterms:modified>
</cp:coreProperties>
</file>