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1" w:type="dxa"/>
        <w:tblInd w:w="-318" w:type="dxa"/>
        <w:tblBorders>
          <w:insideH w:val="single" w:sz="4" w:space="0" w:color="auto"/>
        </w:tblBorders>
        <w:tblLook w:val="01E0" w:firstRow="1" w:lastRow="1" w:firstColumn="1" w:lastColumn="1" w:noHBand="0" w:noVBand="0"/>
      </w:tblPr>
      <w:tblGrid>
        <w:gridCol w:w="4821"/>
      </w:tblGrid>
      <w:tr w:rsidR="00797028" w:rsidRPr="006E796E" w14:paraId="49A867D6" w14:textId="77777777" w:rsidTr="00661957">
        <w:tc>
          <w:tcPr>
            <w:tcW w:w="4821" w:type="dxa"/>
            <w:shd w:val="clear" w:color="auto" w:fill="auto"/>
          </w:tcPr>
          <w:p w14:paraId="42071579" w14:textId="77777777" w:rsidR="00797028" w:rsidRPr="006E796E" w:rsidRDefault="00797028" w:rsidP="00661957">
            <w:pPr>
              <w:jc w:val="center"/>
              <w:rPr>
                <w:spacing w:val="-18"/>
                <w:sz w:val="26"/>
                <w:szCs w:val="26"/>
                <w:lang w:val="pt-BR"/>
              </w:rPr>
            </w:pPr>
            <w:r w:rsidRPr="006E796E">
              <w:rPr>
                <w:sz w:val="26"/>
                <w:szCs w:val="26"/>
                <w:lang w:val="pt-BR"/>
              </w:rPr>
              <w:t>SỞ GIÁO DỤC VÀ ĐÀO TẠO</w:t>
            </w:r>
            <w:r w:rsidRPr="006E796E">
              <w:rPr>
                <w:spacing w:val="-18"/>
                <w:sz w:val="26"/>
                <w:szCs w:val="26"/>
                <w:lang w:val="pt-BR"/>
              </w:rPr>
              <w:t xml:space="preserve"> HÀ NỘI</w:t>
            </w:r>
          </w:p>
          <w:p w14:paraId="24CF8EDD" w14:textId="512884D3" w:rsidR="00797028" w:rsidRPr="006E796E" w:rsidRDefault="000C530F" w:rsidP="00661957">
            <w:pPr>
              <w:jc w:val="center"/>
              <w:rPr>
                <w:spacing w:val="-18"/>
                <w:sz w:val="26"/>
                <w:szCs w:val="26"/>
                <w:lang w:val="pt-BR"/>
              </w:rPr>
            </w:pPr>
            <w:r>
              <w:rPr>
                <w:noProof/>
                <w:spacing w:val="-18"/>
                <w:sz w:val="26"/>
                <w:szCs w:val="26"/>
                <w:lang w:val="en-US"/>
              </w:rPr>
              <mc:AlternateContent>
                <mc:Choice Requires="wps">
                  <w:drawing>
                    <wp:anchor distT="0" distB="0" distL="114300" distR="114300" simplePos="0" relativeHeight="251661312" behindDoc="0" locked="0" layoutInCell="1" allowOverlap="1" wp14:anchorId="71A032FA" wp14:editId="62BBB072">
                      <wp:simplePos x="0" y="0"/>
                      <wp:positionH relativeFrom="column">
                        <wp:posOffset>599278</wp:posOffset>
                      </wp:positionH>
                      <wp:positionV relativeFrom="paragraph">
                        <wp:posOffset>45085</wp:posOffset>
                      </wp:positionV>
                      <wp:extent cx="1551940" cy="10160"/>
                      <wp:effectExtent l="0" t="0" r="29210" b="27940"/>
                      <wp:wrapNone/>
                      <wp:docPr id="1" name="Straight Connector 1"/>
                      <wp:cNvGraphicFramePr/>
                      <a:graphic xmlns:a="http://schemas.openxmlformats.org/drawingml/2006/main">
                        <a:graphicData uri="http://schemas.microsoft.com/office/word/2010/wordprocessingShape">
                          <wps:wsp>
                            <wps:cNvCnPr/>
                            <wps:spPr>
                              <a:xfrm flipV="1">
                                <a:off x="0" y="0"/>
                                <a:ext cx="155194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FBDB02"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7.2pt,3.55pt" to="169.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" strokecolor="black [3040]"/>
                  </w:pict>
                </mc:Fallback>
              </mc:AlternateContent>
            </w: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797028" w:rsidRPr="00BB7A87" w14:paraId="048CEA9E" w14:textId="77777777" w:rsidTr="00661957">
        <w:tc>
          <w:tcPr>
            <w:tcW w:w="7513" w:type="dxa"/>
          </w:tcPr>
          <w:p w14:paraId="5CA45562" w14:textId="6569D7F3" w:rsidR="00797028" w:rsidRPr="00BB7A87" w:rsidRDefault="00797028" w:rsidP="00661957">
            <w:pPr>
              <w:spacing w:line="350" w:lineRule="atLeast"/>
              <w:jc w:val="center"/>
            </w:pPr>
            <w:r w:rsidRPr="00BB7A87">
              <w:t xml:space="preserve">Hướng dẫn </w:t>
            </w:r>
            <w:r w:rsidR="000C530F">
              <w:t>hoạt động</w:t>
            </w:r>
            <w:r w:rsidRPr="00BB7A87">
              <w:t xml:space="preserve"> chuyên môn</w:t>
            </w:r>
          </w:p>
          <w:p w14:paraId="31FD29AA" w14:textId="173EC818" w:rsidR="00797028" w:rsidRPr="00BB7A87" w:rsidRDefault="00797028" w:rsidP="00B50451">
            <w:pPr>
              <w:spacing w:line="350" w:lineRule="atLeast"/>
              <w:jc w:val="center"/>
              <w:rPr>
                <w:bCs/>
              </w:rPr>
            </w:pPr>
            <w:r w:rsidRPr="00BB7A87">
              <w:rPr>
                <w:bCs/>
              </w:rPr>
              <w:t>Môn Toán cấp THCS năm học 202</w:t>
            </w:r>
            <w:r w:rsidR="002A6FFA" w:rsidRPr="00BB7A87">
              <w:rPr>
                <w:bCs/>
              </w:rPr>
              <w:t>4</w:t>
            </w:r>
            <w:r w:rsidRPr="00BB7A87">
              <w:rPr>
                <w:bCs/>
              </w:rPr>
              <w:t>-202</w:t>
            </w:r>
            <w:r w:rsidR="002A6FFA" w:rsidRPr="00BB7A87">
              <w:rPr>
                <w:bCs/>
              </w:rPr>
              <w:t>5</w:t>
            </w:r>
          </w:p>
          <w:p w14:paraId="276C65DF" w14:textId="7F599B5E" w:rsidR="00B50451" w:rsidRPr="00BB7A87" w:rsidRDefault="000C530F" w:rsidP="00B50451">
            <w:pPr>
              <w:spacing w:line="350" w:lineRule="atLeast"/>
              <w:jc w:val="center"/>
            </w:pPr>
            <w:r>
              <w:rPr>
                <w:noProof/>
                <w:spacing w:val="-18"/>
                <w:sz w:val="26"/>
                <w:szCs w:val="26"/>
                <w:lang w:val="en-US"/>
              </w:rPr>
              <mc:AlternateContent>
                <mc:Choice Requires="wps">
                  <w:drawing>
                    <wp:anchor distT="0" distB="0" distL="114300" distR="114300" simplePos="0" relativeHeight="251663360" behindDoc="0" locked="0" layoutInCell="1" allowOverlap="1" wp14:anchorId="30B25887" wp14:editId="5827B0FD">
                      <wp:simplePos x="0" y="0"/>
                      <wp:positionH relativeFrom="column">
                        <wp:posOffset>1639142</wp:posOffset>
                      </wp:positionH>
                      <wp:positionV relativeFrom="paragraph">
                        <wp:posOffset>48260</wp:posOffset>
                      </wp:positionV>
                      <wp:extent cx="1275907" cy="8353"/>
                      <wp:effectExtent l="0" t="0" r="19685" b="29845"/>
                      <wp:wrapNone/>
                      <wp:docPr id="2" name="Straight Connector 2"/>
                      <wp:cNvGraphicFramePr/>
                      <a:graphic xmlns:a="http://schemas.openxmlformats.org/drawingml/2006/main">
                        <a:graphicData uri="http://schemas.microsoft.com/office/word/2010/wordprocessingShape">
                          <wps:wsp>
                            <wps:cNvCnPr/>
                            <wps:spPr>
                              <a:xfrm flipV="1">
                                <a:off x="0" y="0"/>
                                <a:ext cx="1275907" cy="83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F505FCF"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3.8pt" to="22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" strokecolor="black [3040]"/>
                  </w:pict>
                </mc:Fallback>
              </mc:AlternateContent>
            </w:r>
          </w:p>
        </w:tc>
      </w:tr>
    </w:tbl>
    <w:p w14:paraId="2D115144" w14:textId="3E2A7F12" w:rsidR="00797028" w:rsidRPr="000C530F" w:rsidRDefault="00797028" w:rsidP="000C530F">
      <w:pPr>
        <w:widowControl w:val="0"/>
        <w:spacing w:before="120" w:after="120" w:line="360" w:lineRule="atLeast"/>
        <w:ind w:firstLine="567"/>
        <w:jc w:val="both"/>
        <w:rPr>
          <w:b w:val="0"/>
          <w:lang w:val="vi-VN"/>
        </w:rPr>
      </w:pPr>
      <w:r w:rsidRPr="000C530F">
        <w:rPr>
          <w:b w:val="0"/>
          <w:lang w:val="vi-VN"/>
        </w:rPr>
        <w:t>Để triển khai Nhiệm vụ năm học 202</w:t>
      </w:r>
      <w:r w:rsidR="002A6FFA" w:rsidRPr="000C530F">
        <w:rPr>
          <w:b w:val="0"/>
          <w:lang w:val="en-US"/>
        </w:rPr>
        <w:t>4</w:t>
      </w:r>
      <w:r w:rsidRPr="000C530F">
        <w:rPr>
          <w:b w:val="0"/>
          <w:lang w:val="vi-VN"/>
        </w:rPr>
        <w:t xml:space="preserve"> - 202</w:t>
      </w:r>
      <w:r w:rsidR="002A6FFA" w:rsidRPr="000C530F">
        <w:rPr>
          <w:b w:val="0"/>
          <w:lang w:val="en-US"/>
        </w:rPr>
        <w:t>5</w:t>
      </w:r>
      <w:r w:rsidRPr="000C530F">
        <w:rPr>
          <w:b w:val="0"/>
          <w:lang w:val="vi-VN"/>
        </w:rPr>
        <w:t>, Sở Giáo dục và Đào tạo hướng dẫn chuyên môn môn Toán cấp THCS một số nội dung sau:</w:t>
      </w:r>
    </w:p>
    <w:p w14:paraId="0C677B71" w14:textId="77777777" w:rsidR="00384F36" w:rsidRPr="000C530F" w:rsidRDefault="00FB2EF8" w:rsidP="000C530F">
      <w:pPr>
        <w:widowControl w:val="0"/>
        <w:spacing w:before="120" w:after="120" w:line="360" w:lineRule="atLeast"/>
        <w:ind w:firstLine="567"/>
        <w:jc w:val="both"/>
        <w:rPr>
          <w:bCs/>
          <w:lang w:val="nl-NL"/>
        </w:rPr>
      </w:pPr>
      <w:r w:rsidRPr="000C530F">
        <w:rPr>
          <w:bCs/>
          <w:lang w:val="nl-NL"/>
        </w:rPr>
        <w:t xml:space="preserve"> </w:t>
      </w:r>
      <w:r w:rsidR="004E07A8" w:rsidRPr="000C530F">
        <w:rPr>
          <w:bCs/>
          <w:lang w:val="nl-NL"/>
        </w:rPr>
        <w:t>1</w:t>
      </w:r>
      <w:r w:rsidR="00384F36" w:rsidRPr="000C530F">
        <w:rPr>
          <w:bCs/>
          <w:lang w:val="nl-NL"/>
        </w:rPr>
        <w:t xml:space="preserve">. </w:t>
      </w:r>
      <w:r w:rsidR="006B34B0" w:rsidRPr="000C530F">
        <w:rPr>
          <w:bCs/>
          <w:lang w:val="nl-NL"/>
        </w:rPr>
        <w:t>Xây dựng và tổ chức t</w:t>
      </w:r>
      <w:r w:rsidR="00441B45" w:rsidRPr="000C530F">
        <w:rPr>
          <w:bCs/>
          <w:lang w:val="nl-NL"/>
        </w:rPr>
        <w:t>hực hiện kế hoạch giáo dục</w:t>
      </w:r>
    </w:p>
    <w:p w14:paraId="41A184F7" w14:textId="7FA3022C" w:rsidR="002A6FFA" w:rsidRPr="00E957A7" w:rsidRDefault="00666145" w:rsidP="00E957A7">
      <w:pPr>
        <w:widowControl w:val="0"/>
        <w:spacing w:before="120" w:after="80" w:line="360" w:lineRule="atLeast"/>
        <w:ind w:firstLine="567"/>
        <w:jc w:val="both"/>
        <w:rPr>
          <w:b w:val="0"/>
          <w:lang w:val="en-US"/>
        </w:rPr>
      </w:pPr>
      <w:r w:rsidRPr="000C530F">
        <w:rPr>
          <w:b w:val="0"/>
          <w:lang w:val="nl-NL"/>
        </w:rPr>
        <w:t xml:space="preserve">- </w:t>
      </w:r>
      <w:r w:rsidR="002A6FFA" w:rsidRPr="000C530F">
        <w:rPr>
          <w:b w:val="0"/>
          <w:lang w:val="nl-NL"/>
        </w:rPr>
        <w:t xml:space="preserve">Thực hiên </w:t>
      </w:r>
      <w:r w:rsidR="002A6FFA" w:rsidRPr="000C530F">
        <w:rPr>
          <w:b w:val="0"/>
          <w:lang w:val="vi-VN"/>
        </w:rPr>
        <w:t>Công văn số 39</w:t>
      </w:r>
      <w:r w:rsidR="002A6FFA" w:rsidRPr="000C530F">
        <w:rPr>
          <w:b w:val="0"/>
          <w:lang w:val="en-US"/>
        </w:rPr>
        <w:t>35</w:t>
      </w:r>
      <w:r w:rsidR="002A6FFA" w:rsidRPr="000C530F">
        <w:rPr>
          <w:b w:val="0"/>
          <w:lang w:val="vi-VN"/>
        </w:rPr>
        <w:t>/BGDĐT-GDTrH ngày 3</w:t>
      </w:r>
      <w:r w:rsidR="002A6FFA" w:rsidRPr="000C530F">
        <w:rPr>
          <w:b w:val="0"/>
          <w:lang w:val="en-US"/>
        </w:rPr>
        <w:t>0</w:t>
      </w:r>
      <w:r w:rsidR="002A6FFA" w:rsidRPr="000C530F">
        <w:rPr>
          <w:b w:val="0"/>
          <w:lang w:val="vi-VN"/>
        </w:rPr>
        <w:t>/</w:t>
      </w:r>
      <w:r w:rsidR="002A6FFA" w:rsidRPr="000C530F">
        <w:rPr>
          <w:b w:val="0"/>
          <w:lang w:val="en-US"/>
        </w:rPr>
        <w:t>7</w:t>
      </w:r>
      <w:r w:rsidR="002A6FFA" w:rsidRPr="000C530F">
        <w:rPr>
          <w:b w:val="0"/>
          <w:lang w:val="vi-VN"/>
        </w:rPr>
        <w:t>/202</w:t>
      </w:r>
      <w:r w:rsidR="002A6FFA" w:rsidRPr="000C530F">
        <w:rPr>
          <w:b w:val="0"/>
          <w:lang w:val="en-US"/>
        </w:rPr>
        <w:t>4</w:t>
      </w:r>
      <w:r w:rsidR="002A6FFA" w:rsidRPr="000C530F">
        <w:rPr>
          <w:b w:val="0"/>
          <w:lang w:val="vi-VN"/>
        </w:rPr>
        <w:t xml:space="preserve"> của Bộ GDĐT về việc hướng dẫn thực hiện nhiệm vụ giáo dục trung học năm học 202</w:t>
      </w:r>
      <w:r w:rsidR="002A6FFA" w:rsidRPr="000C530F">
        <w:rPr>
          <w:b w:val="0"/>
          <w:lang w:val="en-US"/>
        </w:rPr>
        <w:t>4</w:t>
      </w:r>
      <w:r w:rsidR="002A6FFA" w:rsidRPr="000C530F">
        <w:rPr>
          <w:b w:val="0"/>
          <w:lang w:val="vi-VN"/>
        </w:rPr>
        <w:t xml:space="preserve"> - 2025</w:t>
      </w:r>
      <w:r w:rsidR="00E957A7">
        <w:rPr>
          <w:b w:val="0"/>
          <w:lang w:val="en-US"/>
        </w:rPr>
        <w:t xml:space="preserve">; </w:t>
      </w:r>
      <w:r w:rsidR="00E957A7" w:rsidRPr="000C530F">
        <w:rPr>
          <w:b w:val="0"/>
          <w:lang w:val="vi-VN"/>
        </w:rPr>
        <w:t>Công văn số</w:t>
      </w:r>
      <w:r w:rsidR="00E957A7">
        <w:rPr>
          <w:b w:val="0"/>
          <w:lang w:val="en-US"/>
        </w:rPr>
        <w:t xml:space="preserve"> 3037/SGDĐT-GDTrH ngày 04/9/2024 của Sở Giáo dục và Đào tạo về hướng dẫn thực hiện nhiệm vụ năm học 2024 - 2025 cấp THCS.</w:t>
      </w:r>
    </w:p>
    <w:p w14:paraId="78F75A71" w14:textId="5BF48C14" w:rsidR="00F50AD8" w:rsidRPr="000C530F" w:rsidRDefault="00F50AD8" w:rsidP="000C530F">
      <w:pPr>
        <w:widowControl w:val="0"/>
        <w:spacing w:before="120" w:after="80" w:line="360" w:lineRule="atLeast"/>
        <w:ind w:firstLine="567"/>
        <w:jc w:val="both"/>
        <w:rPr>
          <w:b w:val="0"/>
          <w:spacing w:val="-2"/>
          <w:lang w:val="nl-NL"/>
        </w:rPr>
      </w:pPr>
      <w:r w:rsidRPr="000C530F">
        <w:rPr>
          <w:b w:val="0"/>
          <w:spacing w:val="-2"/>
          <w:lang w:val="nl-NL"/>
        </w:rPr>
        <w:t xml:space="preserve">Giao quyền chủ động cho các trường THCS xây dựng và thực hiện kế hoạch giáo dục môn Toán theo định hướng phát triển năng lực HS theo khung thời gian quy định; có đủ thời lượng cho luyện tập, ôn tập, tổ chức hoạt động trải nghiệm sáng tạo và kiểm tra định kỳ. </w:t>
      </w:r>
    </w:p>
    <w:p w14:paraId="44558A53" w14:textId="177948FF" w:rsidR="00F50AD8" w:rsidRPr="000C530F" w:rsidRDefault="002A6FFA" w:rsidP="000C530F">
      <w:pPr>
        <w:widowControl w:val="0"/>
        <w:spacing w:before="120" w:after="80" w:line="360" w:lineRule="atLeast"/>
        <w:ind w:firstLine="567"/>
        <w:jc w:val="both"/>
        <w:rPr>
          <w:b w:val="0"/>
          <w:lang w:val="nl-NL"/>
        </w:rPr>
      </w:pPr>
      <w:r w:rsidRPr="000C530F">
        <w:rPr>
          <w:b w:val="0"/>
          <w:color w:val="000000"/>
          <w:shd w:val="clear" w:color="auto" w:fill="FFFFFF"/>
        </w:rPr>
        <w:t xml:space="preserve">Kế hoạch giáo dục thể hiện việc đầy đủ việc sử dụng cơ sở vật chất, thiết bị dạy học hiện có, </w:t>
      </w:r>
      <w:r w:rsidR="00F50AD8" w:rsidRPr="000C530F">
        <w:rPr>
          <w:b w:val="0"/>
          <w:lang w:val="nl-NL"/>
        </w:rPr>
        <w:t>tổ chức thực hiện linh hoạt kế hoạch giáo dục môn Toán theo tinh thần Công văn số 5512/BGDĐ</w:t>
      </w:r>
      <w:r w:rsidR="00B50451" w:rsidRPr="000C530F">
        <w:rPr>
          <w:b w:val="0"/>
          <w:lang w:val="nl-NL"/>
        </w:rPr>
        <w:t>T-GDTrH ngày 18/12/2020 của Bộ Giáo dục và Đào tạo về xây dựng, tổ chức thực hiện kế hoạch nhà trường</w:t>
      </w:r>
      <w:r w:rsidRPr="000C530F">
        <w:rPr>
          <w:b w:val="0"/>
          <w:lang w:val="nl-NL"/>
        </w:rPr>
        <w:t>,</w:t>
      </w:r>
      <w:r w:rsidR="00F50AD8" w:rsidRPr="000C530F">
        <w:rPr>
          <w:b w:val="0"/>
          <w:lang w:val="nl-NL"/>
        </w:rPr>
        <w:t xml:space="preserve"> Công văn số 4659/SGDĐT-</w:t>
      </w:r>
      <w:r w:rsidR="00B50451" w:rsidRPr="000C530F">
        <w:rPr>
          <w:b w:val="0"/>
          <w:lang w:val="nl-NL"/>
        </w:rPr>
        <w:t>GDPT ngày 31/12/2020 của Sở Giáo dục và Đào tạo về xây dựng, tổ chức thực hiện kế hoạch nhà trường THCS từ năm học 2020-2021</w:t>
      </w:r>
      <w:r w:rsidR="00F50AD8" w:rsidRPr="000C530F">
        <w:rPr>
          <w:b w:val="0"/>
          <w:lang w:val="nl-NL"/>
        </w:rPr>
        <w:t>. Các phụ lục kèm theo công văn này được sử dụng tham khảo trong việc xây dựng kế hoạch dạy học, kế hoạch tổ chức các hoạt động giáo dục, kế hoạch giáo dục của giáo viên, kế hoạch bài dạy (giáo án) môn Toán.</w:t>
      </w:r>
    </w:p>
    <w:p w14:paraId="7974733C" w14:textId="18210088" w:rsidR="00DF2E65" w:rsidRPr="000C530F" w:rsidRDefault="009C4077" w:rsidP="000C530F">
      <w:pPr>
        <w:widowControl w:val="0"/>
        <w:spacing w:before="120" w:after="80" w:line="360" w:lineRule="atLeast"/>
        <w:ind w:firstLine="567"/>
        <w:jc w:val="both"/>
        <w:rPr>
          <w:b w:val="0"/>
          <w:lang w:val="nl-NL"/>
        </w:rPr>
      </w:pPr>
      <w:r w:rsidRPr="000C530F">
        <w:rPr>
          <w:b w:val="0"/>
          <w:spacing w:val="-2"/>
          <w:lang w:val="nl-NL"/>
        </w:rPr>
        <w:t>-</w:t>
      </w:r>
      <w:r w:rsidR="00DF2E65" w:rsidRPr="000C530F">
        <w:rPr>
          <w:b w:val="0"/>
          <w:spacing w:val="-2"/>
          <w:lang w:val="nl-NL"/>
        </w:rPr>
        <w:t xml:space="preserve"> Kế hoạch giáo dục môn Toán của mỗi trường phải phù hợp với điều kiện thực tế của trường và khả năng học tập của HS. </w:t>
      </w:r>
      <w:r w:rsidR="00954122" w:rsidRPr="000C530F">
        <w:rPr>
          <w:b w:val="0"/>
          <w:spacing w:val="-2"/>
          <w:lang w:val="nl-NL" w:eastAsia="vi-VN"/>
        </w:rPr>
        <w:t xml:space="preserve">Phòng </w:t>
      </w:r>
      <w:r w:rsidR="00A325DE" w:rsidRPr="000C530F">
        <w:rPr>
          <w:b w:val="0"/>
          <w:spacing w:val="-2"/>
          <w:lang w:val="nl-NL" w:eastAsia="vi-VN"/>
        </w:rPr>
        <w:t>GDĐT</w:t>
      </w:r>
      <w:r w:rsidR="00DF2E65" w:rsidRPr="000C530F">
        <w:rPr>
          <w:b w:val="0"/>
          <w:spacing w:val="-2"/>
          <w:lang w:val="nl-NL" w:eastAsia="vi-VN"/>
        </w:rPr>
        <w:t xml:space="preserve"> chỉ đạo, hướng dẫn các trường tạo điều kiện cho các tổ/nhóm chuyên môn, GV chủ động lựa chọn nội dung, xây dựng các chủ đề dạy học trong môn Toán và các chủ đề tích hợp, đồng thời xây dựng kế hoạch dạy học phù hợp với các chủ đề và theo hình thức, phương pháp và kỹ thuật dạy học tích cực</w:t>
      </w:r>
      <w:r w:rsidR="00DF2E65" w:rsidRPr="000C530F">
        <w:rPr>
          <w:b w:val="0"/>
          <w:spacing w:val="-2"/>
          <w:lang w:val="nl-NL"/>
        </w:rPr>
        <w:t xml:space="preserve">. </w:t>
      </w:r>
      <w:r w:rsidR="00DF2E65" w:rsidRPr="000C530F">
        <w:rPr>
          <w:b w:val="0"/>
          <w:lang w:val="nl-NL"/>
        </w:rPr>
        <w:t>Phát huy tính chủ động, sáng tạo của tổ chuyên môn và GV trong việc xây dựng kế hoạch dạy học và giáo dục của tổ chuyên môn, kế hoạch bài dạy (giáo án) của giáo viên (hoàn thiện kế hoạch dạy học và giáo dục của tổ chuyên môn, kế hoạch bài dạy đã được xây dựng và thực hiện từ các năm học trước).</w:t>
      </w:r>
    </w:p>
    <w:p w14:paraId="0375B5B8" w14:textId="202728AE" w:rsidR="00DF2E65" w:rsidRPr="000C530F" w:rsidRDefault="00666145" w:rsidP="000C530F">
      <w:pPr>
        <w:widowControl w:val="0"/>
        <w:spacing w:before="120" w:after="80" w:line="360" w:lineRule="atLeast"/>
        <w:ind w:firstLine="567"/>
        <w:jc w:val="both"/>
        <w:rPr>
          <w:b w:val="0"/>
          <w:lang w:val="da-DK"/>
        </w:rPr>
      </w:pPr>
      <w:r w:rsidRPr="000C530F">
        <w:rPr>
          <w:b w:val="0"/>
          <w:spacing w:val="-2"/>
          <w:lang w:val="da-DK" w:eastAsia="vi-VN"/>
        </w:rPr>
        <w:t xml:space="preserve">- </w:t>
      </w:r>
      <w:r w:rsidR="00DF2E65" w:rsidRPr="000C530F">
        <w:rPr>
          <w:b w:val="0"/>
          <w:spacing w:val="-2"/>
          <w:lang w:val="da-DK" w:eastAsia="vi-VN"/>
        </w:rPr>
        <w:t xml:space="preserve">Kế hoạch dạy học môn Toán </w:t>
      </w:r>
      <w:r w:rsidR="00EC0ABA" w:rsidRPr="000C530F">
        <w:rPr>
          <w:b w:val="0"/>
          <w:spacing w:val="-2"/>
          <w:lang w:val="da-DK" w:eastAsia="vi-VN"/>
        </w:rPr>
        <w:t xml:space="preserve">xây dựng đảm bảo theo yêu cầu cần đạt </w:t>
      </w:r>
      <w:r w:rsidR="003832C3" w:rsidRPr="000C530F">
        <w:rPr>
          <w:b w:val="0"/>
          <w:spacing w:val="-2"/>
          <w:lang w:val="da-DK" w:eastAsia="vi-VN"/>
        </w:rPr>
        <w:t>phải được trao đổi, góp ý, được Chủ tịch hội đồng nhà trường phê duyệt</w:t>
      </w:r>
      <w:r w:rsidR="00A325DE" w:rsidRPr="000C530F">
        <w:rPr>
          <w:b w:val="0"/>
          <w:spacing w:val="-2"/>
          <w:lang w:val="da-DK" w:eastAsia="vi-VN"/>
        </w:rPr>
        <w:t>, P</w:t>
      </w:r>
      <w:r w:rsidR="00DF2E65" w:rsidRPr="000C530F">
        <w:rPr>
          <w:b w:val="0"/>
          <w:spacing w:val="-2"/>
          <w:lang w:val="da-DK" w:eastAsia="vi-VN"/>
        </w:rPr>
        <w:t xml:space="preserve">hòng GDĐT xác nhận trước khi thực hiện và là căn cứ để thanh tra, kiểm tra. </w:t>
      </w:r>
      <w:r w:rsidR="00DF2E65" w:rsidRPr="000C530F">
        <w:rPr>
          <w:b w:val="0"/>
          <w:lang w:val="da-DK" w:eastAsia="vi-VN"/>
        </w:rPr>
        <w:t xml:space="preserve">Trên cơ </w:t>
      </w:r>
      <w:r w:rsidR="00DF2E65" w:rsidRPr="000C530F">
        <w:rPr>
          <w:b w:val="0"/>
          <w:lang w:val="da-DK" w:eastAsia="vi-VN"/>
        </w:rPr>
        <w:lastRenderedPageBreak/>
        <w:t>sở kế hoạch dạy học đã được phê duyệt, có thể thiết kế tiến trình dạy học cụ thể cho mỗi chủ đề. Mỗi chủ đề có thể thực hiện ở nhiều tiết học, mỗi tiết có thể chỉ thực hiện một (một số) bước trong tiến trình sư phạm của bài. Các nhiệm vụ học tập có thể thực hiện ở trong hoặc ngoài giờ trên lớp; chú trọng giao nhiệm vụ học tập cho HS ở ngoài lớp học và ở nhà.</w:t>
      </w:r>
    </w:p>
    <w:p w14:paraId="55C8FD21" w14:textId="6B35DA8A" w:rsidR="00DF2E65" w:rsidRPr="000C530F" w:rsidRDefault="00DF2E65" w:rsidP="000C530F">
      <w:pPr>
        <w:widowControl w:val="0"/>
        <w:spacing w:before="120" w:after="80" w:line="360" w:lineRule="atLeast"/>
        <w:ind w:firstLine="567"/>
        <w:jc w:val="both"/>
        <w:rPr>
          <w:b w:val="0"/>
          <w:lang w:val="da-DK"/>
        </w:rPr>
      </w:pPr>
      <w:r w:rsidRPr="000C530F">
        <w:rPr>
          <w:b w:val="0"/>
          <w:lang w:val="da-DK"/>
        </w:rPr>
        <w:t xml:space="preserve">Việc điều chỉnh thời lượng, trình tự của một số bài học được sắp xếp liền nhau không làm ảnh hưởng tới chỉnh thể cấu trúc chung, không gây khó khăn cho việc thực hiện. Tập trung hướng dẫn HS đạt kết quả cần đạt ghi ở đầu mỗi bài học để đảm bảo sau giờ học, HS nắm được kiến thức cơ bản nhất. </w:t>
      </w:r>
    </w:p>
    <w:p w14:paraId="1AA3B80D" w14:textId="22298A4A" w:rsidR="00371A8F" w:rsidRPr="000C530F" w:rsidRDefault="00371A8F" w:rsidP="000C530F">
      <w:pPr>
        <w:widowControl w:val="0"/>
        <w:spacing w:before="120" w:after="80" w:line="360" w:lineRule="atLeast"/>
        <w:ind w:firstLine="567"/>
        <w:jc w:val="both"/>
        <w:rPr>
          <w:b w:val="0"/>
          <w:lang w:val="da-DK"/>
        </w:rPr>
      </w:pPr>
      <w:r w:rsidRPr="000C530F">
        <w:rPr>
          <w:b w:val="0"/>
          <w:spacing w:val="-4"/>
          <w:lang w:val="da-DK"/>
        </w:rPr>
        <w:t xml:space="preserve">- </w:t>
      </w:r>
      <w:r w:rsidRPr="000C530F">
        <w:rPr>
          <w:b w:val="0"/>
          <w:lang w:val="da-DK"/>
        </w:rPr>
        <w:t xml:space="preserve">Phòng GDĐT và các nhà trường xây dựng kế hoạch dạy học môn học, hoạt động giáo dục bám sát yêu cầu cần đạt theo Chương trình môn Toán năm 2018. Tinh giản đối với yêu cầu cần đạt ở mức vận dụng do không có đủ điều kiện cho học sinh thực hành, trải nghiệm theo yêu cầu cần đạt của chương trình môn Toán, khuyến khích GV đọc tham khảo những </w:t>
      </w:r>
      <w:r w:rsidR="00A325DE" w:rsidRPr="000C530F">
        <w:rPr>
          <w:b w:val="0"/>
          <w:lang w:val="da-DK"/>
        </w:rPr>
        <w:t xml:space="preserve">Bộ </w:t>
      </w:r>
      <w:r w:rsidRPr="000C530F">
        <w:rPr>
          <w:b w:val="0"/>
          <w:lang w:val="da-DK"/>
        </w:rPr>
        <w:t>SGK khác với SGK Toán được lựa chọn của đơn vị để giảng dạy hiệu quả hơn cho HS.</w:t>
      </w:r>
    </w:p>
    <w:p w14:paraId="15D89521" w14:textId="05C2FF76" w:rsidR="00371A8F" w:rsidRPr="000C530F" w:rsidRDefault="009C4077" w:rsidP="000C530F">
      <w:pPr>
        <w:widowControl w:val="0"/>
        <w:spacing w:before="120" w:after="80" w:line="360" w:lineRule="atLeast"/>
        <w:ind w:firstLine="567"/>
        <w:jc w:val="both"/>
        <w:rPr>
          <w:b w:val="0"/>
          <w:lang w:val="da-DK"/>
        </w:rPr>
      </w:pPr>
      <w:r w:rsidRPr="000C530F">
        <w:rPr>
          <w:b w:val="0"/>
          <w:lang w:val="da-DK"/>
        </w:rPr>
        <w:t xml:space="preserve">- </w:t>
      </w:r>
      <w:r w:rsidR="00371A8F" w:rsidRPr="000C530F">
        <w:rPr>
          <w:b w:val="0"/>
          <w:lang w:val="da-DK"/>
        </w:rPr>
        <w:t>Về dạy học tự chọn Toán tùy theo tình hình thực tế của các nhà trường có thể tổ chức dạy tự chọn bám sát hoặc xây dựng thành các chủ đề theo lớp đảm bảo hiệu quả, phù hợp với HS.</w:t>
      </w:r>
    </w:p>
    <w:p w14:paraId="30DDD4A0" w14:textId="5EAE2E22" w:rsidR="00371A8F" w:rsidRPr="000C530F" w:rsidRDefault="00371A8F" w:rsidP="000C530F">
      <w:pPr>
        <w:widowControl w:val="0"/>
        <w:spacing w:before="120" w:after="120" w:line="360" w:lineRule="atLeast"/>
        <w:ind w:firstLine="567"/>
        <w:jc w:val="both"/>
        <w:rPr>
          <w:rFonts w:eastAsia="Calibri"/>
          <w:b w:val="0"/>
          <w:lang w:val="nl-NL"/>
        </w:rPr>
      </w:pPr>
      <w:r w:rsidRPr="000C530F">
        <w:rPr>
          <w:rFonts w:eastAsia="Calibri"/>
          <w:b w:val="0"/>
          <w:lang w:val="nl-NL"/>
        </w:rPr>
        <w:t>Khuyến khích triển khai thí điểm dạy học song ngữ tiếng Anh đối với môn Toán (</w:t>
      </w:r>
      <w:r w:rsidR="003A7BF6" w:rsidRPr="000C530F">
        <w:rPr>
          <w:rFonts w:eastAsia="Calibri"/>
          <w:b w:val="0"/>
          <w:lang w:val="nl-NL"/>
        </w:rPr>
        <w:t>Dạy một phần hoặc toàn bộ chương trình</w:t>
      </w:r>
      <w:r w:rsidRPr="000C530F">
        <w:rPr>
          <w:rFonts w:eastAsia="Calibri"/>
          <w:b w:val="0"/>
          <w:lang w:val="nl-NL"/>
        </w:rPr>
        <w:t xml:space="preserve"> Toán bằng tiếng Anh) tại các trường THCS có đủ điều kiện. </w:t>
      </w:r>
    </w:p>
    <w:p w14:paraId="4932DC76" w14:textId="77777777" w:rsidR="00AE1CF4" w:rsidRPr="000C530F" w:rsidRDefault="00AE1CF4" w:rsidP="000C530F">
      <w:pPr>
        <w:widowControl w:val="0"/>
        <w:tabs>
          <w:tab w:val="num" w:pos="720"/>
        </w:tabs>
        <w:spacing w:before="120" w:after="120" w:line="360" w:lineRule="atLeast"/>
        <w:ind w:firstLine="567"/>
        <w:jc w:val="both"/>
        <w:outlineLvl w:val="0"/>
        <w:rPr>
          <w:b w:val="0"/>
          <w:lang w:val="nl-NL"/>
        </w:rPr>
      </w:pPr>
      <w:r w:rsidRPr="000C530F">
        <w:rPr>
          <w:b w:val="0"/>
          <w:lang w:val="vi-VN"/>
        </w:rPr>
        <w:t xml:space="preserve">Một số </w:t>
      </w:r>
      <w:r w:rsidRPr="000C530F">
        <w:rPr>
          <w:b w:val="0"/>
          <w:lang w:val="nl-NL"/>
        </w:rPr>
        <w:t>lưu ý</w:t>
      </w:r>
      <w:r w:rsidRPr="000C530F">
        <w:rPr>
          <w:b w:val="0"/>
          <w:lang w:val="vi-VN"/>
        </w:rPr>
        <w:t>:</w:t>
      </w:r>
    </w:p>
    <w:p w14:paraId="24FB4A40" w14:textId="6D454C57" w:rsidR="00EE0413" w:rsidRPr="000C530F" w:rsidRDefault="00353D95" w:rsidP="000C530F">
      <w:pPr>
        <w:widowControl w:val="0"/>
        <w:spacing w:before="120" w:after="120" w:line="360" w:lineRule="atLeast"/>
        <w:ind w:firstLine="567"/>
        <w:jc w:val="both"/>
        <w:rPr>
          <w:b w:val="0"/>
          <w:lang w:val="en-US"/>
        </w:rPr>
      </w:pPr>
      <w:r w:rsidRPr="000C530F">
        <w:rPr>
          <w:b w:val="0"/>
          <w:lang w:val="nl-NL"/>
        </w:rPr>
        <w:t>+</w:t>
      </w:r>
      <w:r w:rsidRPr="000C530F">
        <w:rPr>
          <w:b w:val="0"/>
          <w:lang w:val="vi-VN"/>
        </w:rPr>
        <w:t xml:space="preserve"> Để thực hiện </w:t>
      </w:r>
      <w:r w:rsidR="003A7BF6" w:rsidRPr="000C530F">
        <w:rPr>
          <w:rFonts w:eastAsia="Calibri"/>
          <w:b w:val="0"/>
          <w:lang w:val="nl-NL"/>
        </w:rPr>
        <w:t xml:space="preserve">dạy học song ngữ tiếng Anh đối với môn Toán (Dạy một phần hoặc toàn bộ chương trình Toán bằng tiếng Anh) </w:t>
      </w:r>
      <w:r w:rsidRPr="000C530F">
        <w:rPr>
          <w:b w:val="0"/>
          <w:lang w:val="vi-VN"/>
        </w:rPr>
        <w:t>với người nước ngoài cần đảm bảo yêu cầu tự nguyện</w:t>
      </w:r>
      <w:r w:rsidRPr="000C530F">
        <w:rPr>
          <w:b w:val="0"/>
          <w:lang w:val="nl-NL"/>
        </w:rPr>
        <w:t xml:space="preserve">, </w:t>
      </w:r>
      <w:r w:rsidRPr="000C530F">
        <w:rPr>
          <w:b w:val="0"/>
          <w:lang w:val="vi-VN"/>
        </w:rPr>
        <w:t>chương trình, đề án phải được các cơ quan có thẩm quyền thẩm định phê duyệt</w:t>
      </w:r>
      <w:r w:rsidRPr="000C530F">
        <w:rPr>
          <w:b w:val="0"/>
          <w:lang w:val="nl-NL"/>
        </w:rPr>
        <w:t>.</w:t>
      </w:r>
      <w:r w:rsidR="00EE0413" w:rsidRPr="000C530F">
        <w:rPr>
          <w:b w:val="0"/>
          <w:lang w:val="vi-VN"/>
        </w:rPr>
        <w:t xml:space="preserve"> </w:t>
      </w:r>
      <w:r w:rsidR="00EE0413" w:rsidRPr="000C530F">
        <w:rPr>
          <w:b w:val="0"/>
          <w:lang w:val="en-US"/>
        </w:rPr>
        <w:t>C</w:t>
      </w:r>
      <w:r w:rsidR="00EE0413" w:rsidRPr="000C530F">
        <w:rPr>
          <w:b w:val="0"/>
          <w:lang w:val="vi-VN"/>
        </w:rPr>
        <w:t>ác tài liệu bổ trợ, tài liệu tham khảo</w:t>
      </w:r>
      <w:r w:rsidR="003A7BF6" w:rsidRPr="000C530F">
        <w:rPr>
          <w:b w:val="0"/>
          <w:lang w:val="vi-VN"/>
        </w:rPr>
        <w:t xml:space="preserve">, phần mềm bổ trợ dạy học, … </w:t>
      </w:r>
      <w:r w:rsidR="00EE0413" w:rsidRPr="000C530F">
        <w:rPr>
          <w:b w:val="0"/>
          <w:lang w:val="vi-VN"/>
        </w:rPr>
        <w:t>các tài liệu này là tài liệu được phép xuất bản, lưu hành tại Việt Nam (không sử dụng tài li</w:t>
      </w:r>
      <w:r w:rsidR="003A7BF6" w:rsidRPr="000C530F">
        <w:rPr>
          <w:b w:val="0"/>
          <w:lang w:val="vi-VN"/>
        </w:rPr>
        <w:t>ệu photocopy) để dạy</w:t>
      </w:r>
      <w:r w:rsidR="003A7BF6" w:rsidRPr="000C530F">
        <w:rPr>
          <w:b w:val="0"/>
          <w:lang w:val="en-US"/>
        </w:rPr>
        <w:t>,</w:t>
      </w:r>
      <w:r w:rsidR="00EE0413" w:rsidRPr="000C530F">
        <w:rPr>
          <w:b w:val="0"/>
          <w:lang w:val="vi-VN"/>
        </w:rPr>
        <w:t xml:space="preserve"> nhà trường phải công bố rõ với người học về Mục đích của Chương trình </w:t>
      </w:r>
      <w:r w:rsidR="003A7BF6" w:rsidRPr="000C530F">
        <w:rPr>
          <w:rFonts w:eastAsia="Calibri"/>
          <w:b w:val="0"/>
          <w:lang w:val="nl-NL"/>
        </w:rPr>
        <w:t>tiếng Anh đối với môn Toán</w:t>
      </w:r>
      <w:r w:rsidR="00EE0413" w:rsidRPr="000C530F">
        <w:rPr>
          <w:b w:val="0"/>
          <w:lang w:val="vi-VN"/>
        </w:rPr>
        <w:t xml:space="preserve"> để người học chọn đăng ký học</w:t>
      </w:r>
      <w:r w:rsidR="003A7BF6" w:rsidRPr="000C530F">
        <w:rPr>
          <w:b w:val="0"/>
          <w:lang w:val="en-US"/>
        </w:rPr>
        <w:t>.</w:t>
      </w:r>
    </w:p>
    <w:p w14:paraId="575C3797" w14:textId="77777777" w:rsidR="003E48BC" w:rsidRPr="000C530F" w:rsidRDefault="003E48BC" w:rsidP="000C530F">
      <w:pPr>
        <w:widowControl w:val="0"/>
        <w:tabs>
          <w:tab w:val="left" w:pos="709"/>
        </w:tabs>
        <w:spacing w:before="120" w:after="120" w:line="360" w:lineRule="atLeast"/>
        <w:ind w:firstLine="567"/>
        <w:jc w:val="both"/>
        <w:rPr>
          <w:b w:val="0"/>
          <w:lang w:val="vi-VN"/>
        </w:rPr>
      </w:pPr>
      <w:r w:rsidRPr="000C530F">
        <w:rPr>
          <w:b w:val="0"/>
          <w:lang w:val="vi-VN"/>
        </w:rPr>
        <w:t xml:space="preserve">+ Đối với đơn vị muốn thực hiện các Chương trình nước ngoài (chưa được thẩm định), nhà trường phải thực hiện các thủ tục gửi Sở GDĐT, Bộ GDĐT để thẩm định chương trình; khi có kết quả thẩm định cho phép của Bộ GDĐT, đơn vị sẽ được Sở GDĐT cấp quyết định cho phép thực hiện chương trình theo Nghị định số 86/2018/NĐ-CP </w:t>
      </w:r>
      <w:r w:rsidRPr="000C530F">
        <w:rPr>
          <w:b w:val="0"/>
          <w:bCs/>
          <w:lang w:val="vi-VN"/>
        </w:rPr>
        <w:t>ngày 06/6/2018</w:t>
      </w:r>
      <w:r w:rsidRPr="000C530F">
        <w:rPr>
          <w:b w:val="0"/>
          <w:lang w:val="vi-VN"/>
        </w:rPr>
        <w:t xml:space="preserve"> của Chính phủ quy định về hợp tác, đầu tư của nước ngoài trong lĩnh vực giáo dục.</w:t>
      </w:r>
    </w:p>
    <w:p w14:paraId="07CD7A7E" w14:textId="77777777" w:rsidR="000C35D6" w:rsidRPr="000C530F" w:rsidRDefault="000C35D6" w:rsidP="000C530F">
      <w:pPr>
        <w:widowControl w:val="0"/>
        <w:spacing w:before="120" w:after="120" w:line="360" w:lineRule="atLeast"/>
        <w:ind w:firstLine="567"/>
        <w:jc w:val="both"/>
        <w:rPr>
          <w:spacing w:val="-2"/>
          <w:lang w:val="nl-NL"/>
        </w:rPr>
      </w:pPr>
      <w:r w:rsidRPr="000C530F">
        <w:rPr>
          <w:spacing w:val="-2"/>
          <w:lang w:val="nl-NL"/>
        </w:rPr>
        <w:t xml:space="preserve">2. Đổi mới phương pháp dạy học, hình thức tổ chức dạy học, </w:t>
      </w:r>
      <w:r w:rsidRPr="000C530F">
        <w:rPr>
          <w:rFonts w:eastAsia="MS Mincho"/>
          <w:lang w:val="vi-VN"/>
        </w:rPr>
        <w:t>sử dụng t</w:t>
      </w:r>
      <w:r w:rsidRPr="000C530F">
        <w:rPr>
          <w:rFonts w:eastAsia="MS Mincho"/>
          <w:lang w:val="de-DE"/>
        </w:rPr>
        <w:t xml:space="preserve">hiết bị dạy học </w:t>
      </w:r>
    </w:p>
    <w:p w14:paraId="70E0F70E" w14:textId="77777777" w:rsidR="000C35D6" w:rsidRPr="000C530F" w:rsidRDefault="000C35D6" w:rsidP="000C530F">
      <w:pPr>
        <w:pStyle w:val="Default"/>
        <w:widowControl w:val="0"/>
        <w:spacing w:before="120" w:after="120" w:line="360" w:lineRule="atLeast"/>
        <w:ind w:firstLine="567"/>
        <w:jc w:val="both"/>
        <w:rPr>
          <w:color w:val="auto"/>
          <w:sz w:val="28"/>
          <w:szCs w:val="28"/>
          <w:lang w:val="it-IT"/>
        </w:rPr>
      </w:pPr>
      <w:r w:rsidRPr="000C530F">
        <w:rPr>
          <w:color w:val="auto"/>
          <w:sz w:val="28"/>
          <w:szCs w:val="28"/>
          <w:lang w:val="it-IT"/>
        </w:rPr>
        <w:lastRenderedPageBreak/>
        <w:t xml:space="preserve">a. Đổi mới phương pháp dạy học </w:t>
      </w:r>
    </w:p>
    <w:p w14:paraId="3AFC2FDB" w14:textId="57E875DD" w:rsidR="00666145" w:rsidRPr="000C530F" w:rsidRDefault="00666145" w:rsidP="000C530F">
      <w:pPr>
        <w:widowControl w:val="0"/>
        <w:spacing w:before="120" w:after="120" w:line="360" w:lineRule="atLeast"/>
        <w:ind w:firstLine="567"/>
        <w:jc w:val="both"/>
        <w:rPr>
          <w:b w:val="0"/>
          <w:color w:val="000000"/>
          <w:shd w:val="clear" w:color="auto" w:fill="FFFFFF"/>
        </w:rPr>
      </w:pPr>
      <w:r w:rsidRPr="000C530F">
        <w:rPr>
          <w:b w:val="0"/>
          <w:color w:val="000000"/>
          <w:shd w:val="clear" w:color="auto" w:fill="FFFFFF"/>
        </w:rPr>
        <w:t>- Giáo viên cần lựa chọn phương pháp dạy học phù hợp với nội dung bài học để tổ chức các hoạt động học tập của học sinh bảo đảm chất lượng, dành nhiều thời gian cho học sinh khai thác sử dụng sách giáo khoa, thực hành, thí nghiệm để tiếp nhận và vận dụng kiến thức thông qua thực hiện nhiệm vụ được giao và hoàn thành sản phẩm học tập cụ thể theo yêu cầu của giáo viên.</w:t>
      </w:r>
    </w:p>
    <w:p w14:paraId="132CB7C4" w14:textId="03D36130" w:rsidR="00666145" w:rsidRPr="000C530F" w:rsidRDefault="00666145" w:rsidP="000C530F">
      <w:pPr>
        <w:widowControl w:val="0"/>
        <w:spacing w:before="120" w:after="120" w:line="360" w:lineRule="atLeast"/>
        <w:ind w:firstLine="567"/>
        <w:jc w:val="both"/>
        <w:rPr>
          <w:rFonts w:eastAsia="Calibri"/>
          <w:b w:val="0"/>
          <w:lang w:val="vi-VN"/>
        </w:rPr>
      </w:pPr>
      <w:r w:rsidRPr="000C530F">
        <w:rPr>
          <w:rFonts w:eastAsia="Calibri"/>
          <w:b w:val="0"/>
          <w:lang w:val="en-US"/>
        </w:rPr>
        <w:t>L</w:t>
      </w:r>
      <w:r w:rsidRPr="000C530F">
        <w:rPr>
          <w:rFonts w:eastAsia="Calibri"/>
          <w:b w:val="0"/>
          <w:lang w:val="vi-VN"/>
        </w:rPr>
        <w:t xml:space="preserve">inh hoạt trong việc vận dụng các phương pháp, kỹ thuật dạy học tích cực. Tuỳ theo mục tiêu, nội dung, đối tượng và điều kiện cụ thể mà có những </w:t>
      </w:r>
      <w:r w:rsidRPr="000C530F">
        <w:rPr>
          <w:rFonts w:eastAsia="Calibri"/>
          <w:b w:val="0"/>
          <w:lang w:val="en-US"/>
        </w:rPr>
        <w:t>phương pháp dạy học tích cực, hiệu quả như: Phương pháp trực quan, gợi mở vấn đáp, đặt vấn đề và giải quyết vấn đề, luyện tập</w:t>
      </w:r>
      <w:r w:rsidRPr="000C530F">
        <w:rPr>
          <w:rFonts w:eastAsia="Calibri"/>
          <w:b w:val="0"/>
          <w:lang w:val="vi-VN"/>
        </w:rPr>
        <w:t>. Kết hợp các hoạt động dạy học trong lớp học với hoạt động thực hành trải nghiệm, vận dụng kiến thức toán học vào thực tiễn.</w:t>
      </w:r>
    </w:p>
    <w:p w14:paraId="0172D8A3" w14:textId="2A73572D" w:rsidR="000C35D6" w:rsidRPr="000C530F" w:rsidRDefault="00666145" w:rsidP="000C530F">
      <w:pPr>
        <w:widowControl w:val="0"/>
        <w:spacing w:before="120" w:after="120" w:line="360" w:lineRule="atLeast"/>
        <w:ind w:firstLine="567"/>
        <w:jc w:val="both"/>
        <w:rPr>
          <w:rFonts w:eastAsia="Calibri"/>
          <w:b w:val="0"/>
          <w:lang w:val="vi-VN"/>
        </w:rPr>
      </w:pPr>
      <w:r w:rsidRPr="000C530F">
        <w:rPr>
          <w:rFonts w:eastAsia="Calibri"/>
          <w:b w:val="0"/>
          <w:lang w:val="it-IT"/>
        </w:rPr>
        <w:t>P</w:t>
      </w:r>
      <w:r w:rsidR="000C35D6" w:rsidRPr="000C530F">
        <w:rPr>
          <w:rFonts w:eastAsia="Calibri"/>
          <w:b w:val="0"/>
          <w:lang w:val="vi-VN"/>
        </w:rPr>
        <w:t>hát huy tính tích cực, tự giác, chủ động của học sinh, chú ý nhu cầu, năng lực nhận thức, cách thức học tập khác nhau của từng cá nhân học sinh. Cần tổ chức quá trình dạy học theo hướng kiến tạo, trong đó học sinh được tham gia tìm tòi, phát hiện, suy luận giải quyết vấn đề. Cần hướng dẫn học sinh đi từ cụ thể đến trừu tượng, từ dễ đến khó</w:t>
      </w:r>
      <w:r w:rsidR="00DC736D" w:rsidRPr="000C530F">
        <w:rPr>
          <w:rFonts w:eastAsia="Calibri"/>
          <w:b w:val="0"/>
          <w:lang w:val="en-US"/>
        </w:rPr>
        <w:t>; k</w:t>
      </w:r>
      <w:r w:rsidR="000C35D6" w:rsidRPr="000C530F">
        <w:rPr>
          <w:rFonts w:eastAsia="Calibri"/>
          <w:b w:val="0"/>
          <w:lang w:val="vi-VN"/>
        </w:rPr>
        <w:t>hông chỉ coi trọng tính logic của khoa học Toán học như một khoa học suy diễn mà cần chú ý cách tiếp cận dựa trên vốn kinh nghiệm và sự trải nghiệm của học sinh.</w:t>
      </w:r>
    </w:p>
    <w:p w14:paraId="10E4BA82" w14:textId="77777777" w:rsidR="000C35D6" w:rsidRPr="000C530F" w:rsidRDefault="000C35D6" w:rsidP="000C530F">
      <w:pPr>
        <w:widowControl w:val="0"/>
        <w:spacing w:before="120" w:after="120" w:line="360" w:lineRule="atLeast"/>
        <w:ind w:firstLine="567"/>
        <w:jc w:val="both"/>
        <w:rPr>
          <w:rFonts w:eastAsia="Calibri"/>
          <w:b w:val="0"/>
          <w:lang w:val="vi-VN"/>
        </w:rPr>
      </w:pPr>
      <w:r w:rsidRPr="000C530F">
        <w:rPr>
          <w:rFonts w:eastAsia="Calibri"/>
          <w:b w:val="0"/>
          <w:lang w:val="vi-VN"/>
        </w:rPr>
        <w:t>- Để nâng cao hiệu quả giảng dạy</w:t>
      </w:r>
      <w:r w:rsidR="00E671EA" w:rsidRPr="000C530F">
        <w:rPr>
          <w:rFonts w:eastAsia="Calibri"/>
          <w:b w:val="0"/>
          <w:lang w:val="en-US"/>
        </w:rPr>
        <w:t>,</w:t>
      </w:r>
      <w:r w:rsidRPr="000C530F">
        <w:rPr>
          <w:rFonts w:eastAsia="Calibri"/>
          <w:b w:val="0"/>
          <w:lang w:val="vi-VN"/>
        </w:rPr>
        <w:t xml:space="preserve"> giáo viên cần sử dụng đủ và hiệu quả các thiết bị dạy học</w:t>
      </w:r>
      <w:r w:rsidR="00E671EA" w:rsidRPr="000C530F">
        <w:rPr>
          <w:rFonts w:eastAsia="Calibri"/>
          <w:b w:val="0"/>
          <w:lang w:val="en-US"/>
        </w:rPr>
        <w:t>,</w:t>
      </w:r>
      <w:r w:rsidRPr="000C530F">
        <w:rPr>
          <w:rFonts w:eastAsia="Calibri"/>
          <w:b w:val="0"/>
          <w:lang w:val="vi-VN"/>
        </w:rPr>
        <w:t xml:space="preserve"> </w:t>
      </w:r>
      <w:r w:rsidR="00E671EA" w:rsidRPr="000C530F">
        <w:rPr>
          <w:rFonts w:eastAsia="Calibri"/>
          <w:b w:val="0"/>
          <w:lang w:val="en-US"/>
        </w:rPr>
        <w:t>c</w:t>
      </w:r>
      <w:r w:rsidRPr="000C530F">
        <w:rPr>
          <w:rFonts w:eastAsia="Calibri"/>
          <w:b w:val="0"/>
          <w:lang w:val="vi-VN"/>
        </w:rPr>
        <w:t>ó thể sử dụng các đồ dùng dạy học tự làm phù hợp với nội dung học và các đối tượng học sinh. Tăng cường sử dụng công nghệ thông tin và các phương tiện thiết bị dạy học hiện đại một cách phù hợp và hiệu quả.</w:t>
      </w:r>
    </w:p>
    <w:p w14:paraId="31D3D233" w14:textId="75FB6011" w:rsidR="000C35D6" w:rsidRPr="000C530F" w:rsidRDefault="000C35D6" w:rsidP="000C530F">
      <w:pPr>
        <w:widowControl w:val="0"/>
        <w:spacing w:before="120" w:after="120" w:line="360" w:lineRule="atLeast"/>
        <w:ind w:firstLine="567"/>
        <w:jc w:val="both"/>
        <w:rPr>
          <w:rFonts w:eastAsia="Calibri"/>
          <w:b w:val="0"/>
          <w:spacing w:val="-4"/>
          <w:lang w:val="vi-VN"/>
        </w:rPr>
      </w:pPr>
      <w:r w:rsidRPr="000C530F">
        <w:rPr>
          <w:rFonts w:eastAsia="Calibri"/>
          <w:b w:val="0"/>
          <w:lang w:val="vi-VN"/>
        </w:rPr>
        <w:t xml:space="preserve">- Giáo viên cần giúp học sinh phát triển niềm tin về vị trí, vai trò tích cực của Toán học đối với đời sống con người trong xã hội hiện đại, cần khuyến khích học sinh phát triển hứng thú, sự sẵn sàng học hỏi, </w:t>
      </w:r>
      <w:r w:rsidRPr="000C530F">
        <w:rPr>
          <w:rFonts w:eastAsia="Calibri"/>
          <w:b w:val="0"/>
          <w:spacing w:val="-4"/>
          <w:lang w:val="vi-VN"/>
        </w:rPr>
        <w:t>tìm tòi, khám phá để có thể trở thành con người thành công trong học tập bộ môn Toán.</w:t>
      </w:r>
    </w:p>
    <w:p w14:paraId="2633BCDE" w14:textId="77777777" w:rsidR="000C35D6" w:rsidRPr="000C530F" w:rsidRDefault="000C35D6" w:rsidP="000C530F">
      <w:pPr>
        <w:pStyle w:val="Default"/>
        <w:widowControl w:val="0"/>
        <w:spacing w:before="120" w:after="120" w:line="360" w:lineRule="atLeast"/>
        <w:ind w:firstLine="567"/>
        <w:jc w:val="both"/>
        <w:rPr>
          <w:color w:val="auto"/>
          <w:sz w:val="28"/>
          <w:szCs w:val="28"/>
          <w:lang w:val="vi-VN"/>
        </w:rPr>
      </w:pPr>
      <w:r w:rsidRPr="000C530F">
        <w:rPr>
          <w:color w:val="auto"/>
          <w:sz w:val="28"/>
          <w:szCs w:val="28"/>
          <w:lang w:val="vi-VN"/>
        </w:rPr>
        <w:t xml:space="preserve">b. Đổi mới hình thức tổ chức dạy học </w:t>
      </w:r>
    </w:p>
    <w:p w14:paraId="29E153AC" w14:textId="77777777" w:rsidR="000C35D6" w:rsidRPr="000C530F" w:rsidRDefault="000C35D6" w:rsidP="000C530F">
      <w:pPr>
        <w:widowControl w:val="0"/>
        <w:spacing w:before="120" w:after="120" w:line="360" w:lineRule="atLeast"/>
        <w:ind w:firstLine="567"/>
        <w:jc w:val="both"/>
        <w:rPr>
          <w:rStyle w:val="fontstyle01"/>
          <w:b w:val="0"/>
          <w:color w:val="auto"/>
          <w:lang w:val="vi-VN"/>
        </w:rPr>
      </w:pPr>
      <w:r w:rsidRPr="000C530F">
        <w:rPr>
          <w:b w:val="0"/>
          <w:lang w:val="vi-VN"/>
        </w:rPr>
        <w:t>- Đa dạng hóa các hình thức dạy học/giáo dục</w:t>
      </w:r>
      <w:r w:rsidR="003E535B" w:rsidRPr="000C530F">
        <w:rPr>
          <w:b w:val="0"/>
          <w:lang w:val="en-US"/>
        </w:rPr>
        <w:t xml:space="preserve"> như</w:t>
      </w:r>
      <w:r w:rsidR="00AC5F07" w:rsidRPr="000C530F">
        <w:rPr>
          <w:b w:val="0"/>
          <w:lang w:val="en-US"/>
        </w:rPr>
        <w:t>:</w:t>
      </w:r>
      <w:r w:rsidR="003E535B" w:rsidRPr="000C530F">
        <w:rPr>
          <w:b w:val="0"/>
          <w:lang w:val="en-US"/>
        </w:rPr>
        <w:t xml:space="preserve"> cá nhân, theo nhóm,</w:t>
      </w:r>
      <w:r w:rsidR="00AC5F07" w:rsidRPr="000C530F">
        <w:rPr>
          <w:b w:val="0"/>
          <w:lang w:val="en-US"/>
        </w:rPr>
        <w:t xml:space="preserve"> trong lớp học, ngoài lớp học,</w:t>
      </w:r>
      <w:r w:rsidR="00ED011A" w:rsidRPr="000C530F">
        <w:rPr>
          <w:b w:val="0"/>
          <w:lang w:val="en-US"/>
        </w:rPr>
        <w:t>..</w:t>
      </w:r>
      <w:r w:rsidR="00AC5F07" w:rsidRPr="000C530F">
        <w:rPr>
          <w:b w:val="0"/>
          <w:lang w:val="en-US"/>
        </w:rPr>
        <w:t>.</w:t>
      </w:r>
      <w:r w:rsidRPr="000C530F">
        <w:rPr>
          <w:b w:val="0"/>
          <w:lang w:val="vi-VN"/>
        </w:rPr>
        <w:t xml:space="preserve"> </w:t>
      </w:r>
      <w:r w:rsidR="00AC5F07" w:rsidRPr="000C530F">
        <w:rPr>
          <w:b w:val="0"/>
          <w:lang w:val="en-US"/>
        </w:rPr>
        <w:t>N</w:t>
      </w:r>
      <w:r w:rsidRPr="000C530F">
        <w:rPr>
          <w:b w:val="0"/>
          <w:lang w:val="vi-VN"/>
        </w:rPr>
        <w:t>goài việc tổ chức cho học sinh thực hiện các nhiệm vụ học tập ở trên lớp, cần coi trọng giao nhiệm vụ và hướng dẫn học sinh học tập ở nhà, tổ chức các hoạt động thực hành trải nghiệm ở ngoài nhà trường và cộng đồng.</w:t>
      </w:r>
      <w:r w:rsidRPr="000C530F">
        <w:rPr>
          <w:rStyle w:val="fontstyle01"/>
          <w:b w:val="0"/>
          <w:color w:val="auto"/>
          <w:lang w:val="vi-VN"/>
        </w:rPr>
        <w:t xml:space="preserve"> Chú trọng rèn luyện cho học sinh phương pháp tự học, tự nghiên cứu sách giáo khoa để tiếp nhận và vận dụng kiến thức mới thông qua giải quyết nhiệm vụ học tập</w:t>
      </w:r>
      <w:r w:rsidRPr="000C530F">
        <w:rPr>
          <w:lang w:val="vi-VN"/>
        </w:rPr>
        <w:t xml:space="preserve"> </w:t>
      </w:r>
      <w:r w:rsidRPr="000C530F">
        <w:rPr>
          <w:rStyle w:val="fontstyle01"/>
          <w:b w:val="0"/>
          <w:color w:val="auto"/>
          <w:lang w:val="vi-VN"/>
        </w:rPr>
        <w:t>đặt ra trong bài học; dành nhiều thời gian trên lớp cho học sinh luyện tập, thực hành, trình bày, thảo luận, bảo vệ kết quả học tập của mình; GV tổng hợp, nhận xét, đánh</w:t>
      </w:r>
      <w:r w:rsidRPr="000C530F">
        <w:rPr>
          <w:b w:val="0"/>
          <w:lang w:val="vi-VN"/>
        </w:rPr>
        <w:t xml:space="preserve"> </w:t>
      </w:r>
      <w:r w:rsidRPr="000C530F">
        <w:rPr>
          <w:rStyle w:val="fontstyle01"/>
          <w:b w:val="0"/>
          <w:color w:val="auto"/>
          <w:lang w:val="vi-VN"/>
        </w:rPr>
        <w:t>giá, kết luận để học sinh tiếp nhận và vận dụng.</w:t>
      </w:r>
    </w:p>
    <w:p w14:paraId="4453C676" w14:textId="12BF180D" w:rsidR="000C35D6" w:rsidRPr="000C530F" w:rsidRDefault="000C35D6" w:rsidP="000C530F">
      <w:pPr>
        <w:widowControl w:val="0"/>
        <w:spacing w:before="120" w:after="120" w:line="360" w:lineRule="atLeast"/>
        <w:ind w:firstLine="567"/>
        <w:jc w:val="both"/>
        <w:rPr>
          <w:rFonts w:eastAsia="Calibri"/>
          <w:b w:val="0"/>
          <w:spacing w:val="-8"/>
          <w:lang w:val="vi-VN"/>
        </w:rPr>
      </w:pPr>
      <w:r w:rsidRPr="000C530F">
        <w:rPr>
          <w:rFonts w:eastAsia="Calibri"/>
          <w:b w:val="0"/>
          <w:lang w:val="vi-VN"/>
        </w:rPr>
        <w:t xml:space="preserve">- </w:t>
      </w:r>
      <w:r w:rsidR="00F6525A" w:rsidRPr="000C530F">
        <w:rPr>
          <w:rFonts w:eastAsia="Calibri"/>
          <w:b w:val="0"/>
          <w:lang w:val="en-US"/>
        </w:rPr>
        <w:t>T</w:t>
      </w:r>
      <w:r w:rsidRPr="000C530F">
        <w:rPr>
          <w:rFonts w:eastAsia="Calibri"/>
          <w:b w:val="0"/>
          <w:lang w:val="vi-VN"/>
        </w:rPr>
        <w:t>iến hành các Hoạt động trải nghiệm</w:t>
      </w:r>
      <w:r w:rsidRPr="000C530F">
        <w:rPr>
          <w:rFonts w:eastAsia="Calibri"/>
          <w:lang w:val="vi-VN"/>
        </w:rPr>
        <w:t xml:space="preserve"> </w:t>
      </w:r>
      <w:r w:rsidRPr="000C530F">
        <w:rPr>
          <w:rFonts w:eastAsia="Calibri"/>
          <w:b w:val="0"/>
          <w:lang w:val="vi-VN"/>
        </w:rPr>
        <w:t xml:space="preserve">toán học cho học sinh, như: </w:t>
      </w:r>
      <w:r w:rsidRPr="000C530F">
        <w:rPr>
          <w:rFonts w:eastAsia="Batang"/>
          <w:b w:val="0"/>
          <w:lang w:val="vi-VN"/>
        </w:rPr>
        <w:t xml:space="preserve">Tiến </w:t>
      </w:r>
      <w:r w:rsidRPr="000C530F">
        <w:rPr>
          <w:rFonts w:eastAsia="Batang"/>
          <w:b w:val="0"/>
          <w:lang w:val="vi-VN"/>
        </w:rPr>
        <w:lastRenderedPageBreak/>
        <w:t>hành các đề tài, dự án học tập về Toán, đặc biệt là các đề tài và các dự án về ứng dụng Toán học trong thực tiễ</w:t>
      </w:r>
      <w:r w:rsidR="00DF4EE0" w:rsidRPr="000C530F">
        <w:rPr>
          <w:rFonts w:eastAsia="Batang"/>
          <w:b w:val="0"/>
          <w:lang w:val="vi-VN"/>
        </w:rPr>
        <w:t xml:space="preserve">n; </w:t>
      </w:r>
      <w:r w:rsidR="00DF4EE0" w:rsidRPr="000C530F">
        <w:rPr>
          <w:rFonts w:eastAsia="Batang"/>
          <w:b w:val="0"/>
          <w:lang w:val="en-US"/>
        </w:rPr>
        <w:t>tổ</w:t>
      </w:r>
      <w:r w:rsidRPr="000C530F">
        <w:rPr>
          <w:rFonts w:eastAsia="Batang"/>
          <w:b w:val="0"/>
          <w:lang w:val="vi-VN"/>
        </w:rPr>
        <w:t xml:space="preserve"> chức các trò chơi toán học, câu lạc bộ toán học, </w:t>
      </w:r>
      <w:r w:rsidRPr="000C530F">
        <w:rPr>
          <w:rFonts w:eastAsia="Calibri"/>
          <w:b w:val="0"/>
          <w:lang w:val="vi-VN"/>
        </w:rPr>
        <w:t>diễn đàn, hội thảo, cuộc thi về</w:t>
      </w:r>
      <w:r w:rsidR="00DF4EE0" w:rsidRPr="000C530F">
        <w:rPr>
          <w:rFonts w:eastAsia="Calibri"/>
          <w:b w:val="0"/>
          <w:lang w:val="vi-VN"/>
        </w:rPr>
        <w:t xml:space="preserve"> Toán; r</w:t>
      </w:r>
      <w:r w:rsidRPr="000C530F">
        <w:rPr>
          <w:rFonts w:eastAsia="Batang"/>
          <w:b w:val="0"/>
          <w:lang w:val="vi-VN"/>
        </w:rPr>
        <w:t>a báo tường (hoặc nội san) về</w:t>
      </w:r>
      <w:r w:rsidR="00DF4EE0" w:rsidRPr="000C530F">
        <w:rPr>
          <w:rFonts w:eastAsia="Batang"/>
          <w:b w:val="0"/>
          <w:lang w:val="vi-VN"/>
        </w:rPr>
        <w:t xml:space="preserve"> Toán; t</w:t>
      </w:r>
      <w:r w:rsidRPr="000C530F">
        <w:rPr>
          <w:rFonts w:eastAsia="Batang"/>
          <w:b w:val="0"/>
          <w:lang w:val="vi-VN"/>
        </w:rPr>
        <w:t>ham quan các cơ sở đào tạo và nghiên cứu Toán học, giao lưu với học sinh có năng khiếu toán và các nhà Toán học,...</w:t>
      </w:r>
      <w:r w:rsidRPr="000C530F">
        <w:rPr>
          <w:rFonts w:eastAsia="Calibri"/>
          <w:b w:val="0"/>
          <w:lang w:val="vi-VN"/>
        </w:rPr>
        <w:t xml:space="preserve"> Những hoạt động đó sẽ giúp học sinh vận dụng những tri thức, kiến thức, kỹ năng, thái độ đã được tích luỹ; giúp học sinh bước đầu xác định được năng lực, sở trường của bản thân nhằm định hướng và lựa chọn nghề nghiệp; tạo </w:t>
      </w:r>
      <w:r w:rsidRPr="000C530F">
        <w:rPr>
          <w:rFonts w:eastAsia="Calibri"/>
          <w:b w:val="0"/>
          <w:spacing w:val="-8"/>
          <w:lang w:val="vi-VN"/>
        </w:rPr>
        <w:t>dựng một số năng lực cơ bản cho người lao động tương lai và người công dân có trách nhiệm.</w:t>
      </w:r>
    </w:p>
    <w:p w14:paraId="5CF17E4F" w14:textId="77777777" w:rsidR="00E278EE" w:rsidRPr="000C530F" w:rsidRDefault="00E278EE" w:rsidP="000C530F">
      <w:pPr>
        <w:widowControl w:val="0"/>
        <w:spacing w:before="120" w:after="120" w:line="360" w:lineRule="atLeast"/>
        <w:ind w:firstLine="567"/>
        <w:jc w:val="both"/>
        <w:rPr>
          <w:rFonts w:eastAsia="Calibri"/>
          <w:lang w:val="vi-VN"/>
        </w:rPr>
      </w:pPr>
      <w:r w:rsidRPr="000C530F">
        <w:rPr>
          <w:rFonts w:eastAsia="Calibri"/>
          <w:b w:val="0"/>
          <w:lang w:val="vi-VN"/>
        </w:rPr>
        <w:t>- Hình thành, phát triển các năng lực chung cũng như năng lực toán học, đặc biệt năng lực mô hình hoá toán học,</w:t>
      </w:r>
      <w:r w:rsidRPr="000C530F">
        <w:rPr>
          <w:rFonts w:eastAsia="Calibri"/>
          <w:lang w:val="vi-VN"/>
        </w:rPr>
        <w:t xml:space="preserve"> </w:t>
      </w:r>
      <w:r w:rsidRPr="000C530F">
        <w:rPr>
          <w:rFonts w:eastAsia="Calibri"/>
          <w:b w:val="0"/>
          <w:lang w:val="vi-VN"/>
        </w:rPr>
        <w:t>thể hiện qua việc thực hiện được các hành động:</w:t>
      </w:r>
    </w:p>
    <w:p w14:paraId="37879256" w14:textId="77777777" w:rsidR="00E278EE" w:rsidRPr="000C530F" w:rsidRDefault="00E278EE" w:rsidP="000C530F">
      <w:pPr>
        <w:widowControl w:val="0"/>
        <w:spacing w:before="120" w:after="120" w:line="360" w:lineRule="atLeast"/>
        <w:ind w:firstLine="567"/>
        <w:jc w:val="both"/>
        <w:rPr>
          <w:rFonts w:eastAsia="Calibri"/>
          <w:b w:val="0"/>
          <w:lang w:val="de-DE"/>
        </w:rPr>
      </w:pPr>
      <w:r w:rsidRPr="000C530F">
        <w:rPr>
          <w:rFonts w:eastAsia="Calibri"/>
          <w:b w:val="0"/>
          <w:lang w:val="de-DE"/>
        </w:rPr>
        <w:t>+ Sử dụng các mô hình toán học (gồm công thức, phương trình, bảng biểu, đồ thị,...) để mô tả các tình huống đặt ra trong các bài toán thực tế.</w:t>
      </w:r>
    </w:p>
    <w:p w14:paraId="6705CDD3" w14:textId="77777777" w:rsidR="00E278EE" w:rsidRPr="000C530F" w:rsidRDefault="00E278EE" w:rsidP="000C530F">
      <w:pPr>
        <w:widowControl w:val="0"/>
        <w:spacing w:before="120" w:after="120" w:line="360" w:lineRule="atLeast"/>
        <w:ind w:firstLine="567"/>
        <w:jc w:val="both"/>
        <w:rPr>
          <w:rFonts w:eastAsia="Calibri"/>
          <w:b w:val="0"/>
          <w:lang w:val="de-DE"/>
        </w:rPr>
      </w:pPr>
      <w:r w:rsidRPr="000C530F">
        <w:rPr>
          <w:rFonts w:eastAsia="Calibri"/>
          <w:b w:val="0"/>
          <w:lang w:val="de-DE"/>
        </w:rPr>
        <w:t>+ Giải quyết các vấn đề toán học trong mô hình được thiết lập.</w:t>
      </w:r>
    </w:p>
    <w:p w14:paraId="64B5F6A9" w14:textId="77777777" w:rsidR="00E278EE" w:rsidRPr="000C530F" w:rsidRDefault="00E278EE" w:rsidP="000C530F">
      <w:pPr>
        <w:widowControl w:val="0"/>
        <w:spacing w:before="120" w:after="120" w:line="360" w:lineRule="atLeast"/>
        <w:ind w:firstLine="567"/>
        <w:jc w:val="both"/>
        <w:rPr>
          <w:rFonts w:eastAsia="Calibri"/>
          <w:b w:val="0"/>
          <w:lang w:val="de-DE"/>
        </w:rPr>
      </w:pPr>
      <w:r w:rsidRPr="000C530F">
        <w:rPr>
          <w:rFonts w:eastAsia="Calibri"/>
          <w:b w:val="0"/>
          <w:lang w:val="de-DE"/>
        </w:rPr>
        <w:t>+ Thể hiện và đánh giá lời giải trong ngữ cảnh thực tế và cải tiến mô hình nếu cách giải quyết không phù hợp.</w:t>
      </w:r>
    </w:p>
    <w:p w14:paraId="33C49786" w14:textId="77777777" w:rsidR="00E278EE" w:rsidRPr="000C530F" w:rsidRDefault="00E278EE" w:rsidP="000C530F">
      <w:pPr>
        <w:widowControl w:val="0"/>
        <w:spacing w:before="120" w:after="120" w:line="360" w:lineRule="atLeast"/>
        <w:ind w:firstLine="567"/>
        <w:jc w:val="both"/>
        <w:rPr>
          <w:b w:val="0"/>
          <w:lang w:val="de-DE" w:eastAsia="zh-CN"/>
        </w:rPr>
      </w:pPr>
      <w:r w:rsidRPr="000C530F">
        <w:rPr>
          <w:b w:val="0"/>
          <w:lang w:val="de-DE" w:eastAsia="zh-CN"/>
        </w:rPr>
        <w:t>- Đối với nội dung thực hành trong phòng máy tính với phần mềm dạy học (Đại số, Hình học, Thống kê), nếu nhà  trường có điều kiện thực hiện, có thể tổ chức cho từng học sinh hoặc từng nhóm học sinh thực hành xây dựng, thao tác, tính toán trên các phần mềm hỗ trợ sau khi kết thúc một bài hoặc một chương. Những trường không có điều kiện tổ chức phòng máy với việc sử dụng các phần mềm dạy học môn Toán, có thể giới thiệu cho học sinh thông qua các hoạt động trải nghiệm, ngoại khoá.</w:t>
      </w:r>
    </w:p>
    <w:p w14:paraId="17F5B943" w14:textId="77777777" w:rsidR="00E278EE" w:rsidRPr="000C530F" w:rsidRDefault="00E278EE" w:rsidP="000C530F">
      <w:pPr>
        <w:widowControl w:val="0"/>
        <w:spacing w:before="120" w:after="120" w:line="360" w:lineRule="atLeast"/>
        <w:ind w:firstLine="567"/>
        <w:jc w:val="both"/>
        <w:rPr>
          <w:b w:val="0"/>
          <w:lang w:val="de-DE" w:eastAsia="zh-CN"/>
        </w:rPr>
      </w:pPr>
      <w:r w:rsidRPr="000C530F">
        <w:rPr>
          <w:b w:val="0"/>
          <w:lang w:val="de-DE" w:eastAsia="zh-CN"/>
        </w:rPr>
        <w:t>- Đối với Hoạt động trải nghiệm trong môn Toán, nhà trường quyết định lựa chọn những nội dung, hình thức hoạt động trong chương trình phù hợp với điều kiện cụ thể nhằm làm tăng sự phong phú cho nội dung hoạt động, đồng thời phát triển khả năng vận dụng kiến thức toán học vào thực tiễn cho học sinh.</w:t>
      </w:r>
    </w:p>
    <w:p w14:paraId="48D1010D" w14:textId="427F7939" w:rsidR="00E278EE" w:rsidRPr="000C530F" w:rsidRDefault="00E278EE" w:rsidP="000C530F">
      <w:pPr>
        <w:widowControl w:val="0"/>
        <w:spacing w:before="120" w:after="120" w:line="360" w:lineRule="atLeast"/>
        <w:ind w:firstLine="567"/>
        <w:jc w:val="both"/>
        <w:rPr>
          <w:b w:val="0"/>
          <w:spacing w:val="-4"/>
          <w:lang w:val="de-DE" w:eastAsia="zh-CN"/>
        </w:rPr>
      </w:pPr>
      <w:r w:rsidRPr="000C530F">
        <w:rPr>
          <w:b w:val="0"/>
          <w:lang w:val="de-DE" w:eastAsia="zh-CN"/>
        </w:rPr>
        <w:t>- Đối với các chuyên đề học tập môn Toán, để tăng cường định hướng về nghề nghiệp cho học sinh</w:t>
      </w:r>
      <w:r w:rsidR="00B05534">
        <w:rPr>
          <w:b w:val="0"/>
          <w:lang w:val="vi-VN" w:eastAsia="zh-CN"/>
        </w:rPr>
        <w:t xml:space="preserve"> THPT</w:t>
      </w:r>
      <w:r w:rsidRPr="000C530F">
        <w:rPr>
          <w:b w:val="0"/>
          <w:lang w:val="de-DE" w:eastAsia="zh-CN"/>
        </w:rPr>
        <w:t xml:space="preserve">, nhà trường có thể tổ chức một số chuyên đề học tập môn Toán giúp cho học sinh có cái nhìn tương đối tổng quát về những ngành nghề có liên quan đến toán học để học sinh có cơ sở định hướng nghề nghiệp sau này, cũng như có đủ năng lực tối thiểu để tự mình tìm hiểu những vấn đề có liên quan đến toán học trong suốt cuộc đời. Khi áp dụng các chuyên đề này, nhà trường có thể sắp xếp hoặc lên kế hoạch mời thêm các nhà </w:t>
      </w:r>
      <w:r w:rsidRPr="000C530F">
        <w:rPr>
          <w:b w:val="0"/>
          <w:spacing w:val="-4"/>
          <w:lang w:val="de-DE" w:eastAsia="zh-CN"/>
        </w:rPr>
        <w:t>khoa học, chuyên gia có hiểu biết, có kinh nghiệm thực tiễn để hướng dẫn học sinh.</w:t>
      </w:r>
    </w:p>
    <w:p w14:paraId="5C591732" w14:textId="77777777" w:rsidR="00611DF2" w:rsidRPr="000C530F" w:rsidRDefault="00611DF2" w:rsidP="000C530F">
      <w:pPr>
        <w:widowControl w:val="0"/>
        <w:spacing w:before="120" w:after="120" w:line="360" w:lineRule="atLeast"/>
        <w:ind w:firstLine="567"/>
        <w:jc w:val="both"/>
        <w:rPr>
          <w:rFonts w:eastAsia="MS Mincho"/>
          <w:b w:val="0"/>
          <w:lang w:val="de-DE"/>
        </w:rPr>
      </w:pPr>
      <w:r w:rsidRPr="000C530F">
        <w:rPr>
          <w:rFonts w:eastAsia="MS Mincho"/>
          <w:b w:val="0"/>
          <w:lang w:val="vi-VN"/>
        </w:rPr>
        <w:t xml:space="preserve">c. </w:t>
      </w:r>
      <w:r w:rsidRPr="000C530F">
        <w:rPr>
          <w:rFonts w:eastAsia="MS Mincho"/>
          <w:b w:val="0"/>
          <w:lang w:val="de-DE"/>
        </w:rPr>
        <w:t>Sử dụng thiết bị dạy học môn Toán</w:t>
      </w:r>
    </w:p>
    <w:p w14:paraId="6A9C7A6F" w14:textId="585F077B" w:rsidR="00611DF2" w:rsidRPr="000C530F" w:rsidRDefault="00DF4EE0" w:rsidP="000C530F">
      <w:pPr>
        <w:widowControl w:val="0"/>
        <w:spacing w:before="120" w:after="120" w:line="360" w:lineRule="atLeast"/>
        <w:ind w:firstLine="567"/>
        <w:jc w:val="both"/>
        <w:rPr>
          <w:b w:val="0"/>
          <w:lang w:val="de-DE"/>
        </w:rPr>
      </w:pPr>
      <w:r w:rsidRPr="000C530F">
        <w:rPr>
          <w:b w:val="0"/>
          <w:spacing w:val="-2"/>
          <w:lang w:val="de-DE"/>
        </w:rPr>
        <w:lastRenderedPageBreak/>
        <w:t>Thực hiện nghiêm túc Thông tư số 38</w:t>
      </w:r>
      <w:r w:rsidR="00B05534">
        <w:rPr>
          <w:b w:val="0"/>
          <w:spacing w:val="-2"/>
          <w:lang w:val="de-DE"/>
        </w:rPr>
        <w:t>/2021/TT-BGDĐT ngày 30/12/2021 về</w:t>
      </w:r>
      <w:r w:rsidR="00B05534">
        <w:rPr>
          <w:b w:val="0"/>
          <w:spacing w:val="-2"/>
          <w:lang w:val="vi-VN"/>
        </w:rPr>
        <w:t xml:space="preserve"> việc b</w:t>
      </w:r>
      <w:r w:rsidRPr="000C530F">
        <w:rPr>
          <w:b w:val="0"/>
          <w:spacing w:val="-2"/>
          <w:lang w:val="de-DE"/>
        </w:rPr>
        <w:t xml:space="preserve">an hành danh mục thiết bị dạy học tối thiểu cấp THCS. </w:t>
      </w:r>
      <w:r w:rsidR="00611DF2" w:rsidRPr="000C530F">
        <w:rPr>
          <w:b w:val="0"/>
          <w:lang w:val="de-DE"/>
        </w:rPr>
        <w:t xml:space="preserve">Ngoài các thiết bị dạy học tối thiểu trong danh mục được Bộ GDĐT cung cấp, các nhà trường cần huy động sáng kiến, sự sáng tạo của học sinh, giáo viên </w:t>
      </w:r>
      <w:r w:rsidR="00611DF2" w:rsidRPr="000C530F">
        <w:rPr>
          <w:b w:val="0"/>
          <w:spacing w:val="-4"/>
          <w:lang w:val="de-DE"/>
        </w:rPr>
        <w:t>và phụ huynh trong việc khai thác, thiết kế và sử dụng các thiết bị dạy học tự làm</w:t>
      </w:r>
      <w:r w:rsidR="00611DF2" w:rsidRPr="000C530F">
        <w:rPr>
          <w:b w:val="0"/>
          <w:lang w:val="de-DE"/>
        </w:rPr>
        <w:t>.</w:t>
      </w:r>
    </w:p>
    <w:p w14:paraId="1011E4B8" w14:textId="77777777" w:rsidR="00AE340A" w:rsidRPr="000C530F" w:rsidRDefault="00AE340A" w:rsidP="000C530F">
      <w:pPr>
        <w:widowControl w:val="0"/>
        <w:spacing w:before="120" w:after="120" w:line="360" w:lineRule="atLeast"/>
        <w:ind w:firstLine="567"/>
        <w:jc w:val="both"/>
        <w:rPr>
          <w:lang w:val="it-IT"/>
        </w:rPr>
      </w:pPr>
      <w:r w:rsidRPr="000C530F">
        <w:rPr>
          <w:lang w:val="de-DE"/>
        </w:rPr>
        <w:t>3. Đổi mới kiểm tra và đánh giá.</w:t>
      </w:r>
    </w:p>
    <w:p w14:paraId="19802C01" w14:textId="2A40EAC1" w:rsidR="00AE340A" w:rsidRPr="000C530F" w:rsidRDefault="00AE340A" w:rsidP="000C530F">
      <w:pPr>
        <w:widowControl w:val="0"/>
        <w:spacing w:before="120" w:after="120" w:line="360" w:lineRule="atLeast"/>
        <w:ind w:firstLine="567"/>
        <w:jc w:val="both"/>
        <w:rPr>
          <w:b w:val="0"/>
          <w:spacing w:val="-2"/>
          <w:lang w:val="it-IT"/>
        </w:rPr>
      </w:pPr>
      <w:r w:rsidRPr="000C530F">
        <w:rPr>
          <w:b w:val="0"/>
          <w:spacing w:val="-2"/>
          <w:lang w:val="it-IT"/>
        </w:rPr>
        <w:t xml:space="preserve">- </w:t>
      </w:r>
      <w:r w:rsidR="00F6525A" w:rsidRPr="000C530F">
        <w:rPr>
          <w:b w:val="0"/>
          <w:spacing w:val="-2"/>
          <w:lang w:val="it-IT"/>
        </w:rPr>
        <w:t>T</w:t>
      </w:r>
      <w:r w:rsidRPr="000C530F">
        <w:rPr>
          <w:b w:val="0"/>
          <w:spacing w:val="-2"/>
          <w:lang w:val="it-IT"/>
        </w:rPr>
        <w:t>hực hiện theo T</w:t>
      </w:r>
      <w:r w:rsidRPr="000C530F">
        <w:rPr>
          <w:b w:val="0"/>
          <w:spacing w:val="-2"/>
          <w:lang w:val="vi-VN"/>
        </w:rPr>
        <w:t xml:space="preserve">hông tư </w:t>
      </w:r>
      <w:r w:rsidRPr="000C530F">
        <w:rPr>
          <w:b w:val="0"/>
          <w:spacing w:val="-2"/>
          <w:lang w:val="it-IT"/>
        </w:rPr>
        <w:t xml:space="preserve">số </w:t>
      </w:r>
      <w:r w:rsidRPr="000C530F">
        <w:rPr>
          <w:b w:val="0"/>
          <w:spacing w:val="-2"/>
          <w:lang w:val="vi-VN"/>
        </w:rPr>
        <w:t>22/2020/TT-BGDĐT ngày 20</w:t>
      </w:r>
      <w:r w:rsidRPr="000C530F">
        <w:rPr>
          <w:b w:val="0"/>
          <w:spacing w:val="-2"/>
          <w:lang w:val="it-IT"/>
        </w:rPr>
        <w:t>/7/</w:t>
      </w:r>
      <w:r w:rsidRPr="000C530F">
        <w:rPr>
          <w:b w:val="0"/>
          <w:spacing w:val="-2"/>
          <w:lang w:val="vi-VN"/>
        </w:rPr>
        <w:t xml:space="preserve">2021 của Bộ </w:t>
      </w:r>
      <w:r w:rsidRPr="000C530F">
        <w:rPr>
          <w:b w:val="0"/>
          <w:spacing w:val="-2"/>
          <w:lang w:val="it-IT"/>
        </w:rPr>
        <w:t>GDĐT về quy định đánh giá học sinh THCS và THPT;</w:t>
      </w:r>
    </w:p>
    <w:p w14:paraId="54EF5F74" w14:textId="77777777" w:rsidR="00AE340A" w:rsidRPr="000C530F" w:rsidRDefault="00AE340A" w:rsidP="000C530F">
      <w:pPr>
        <w:widowControl w:val="0"/>
        <w:spacing w:before="120" w:after="120" w:line="360" w:lineRule="atLeast"/>
        <w:ind w:firstLine="567"/>
        <w:jc w:val="both"/>
        <w:rPr>
          <w:rFonts w:eastAsia="Calibri"/>
          <w:b w:val="0"/>
          <w:spacing w:val="-4"/>
          <w:lang w:val="vi-VN"/>
        </w:rPr>
      </w:pPr>
      <w:r w:rsidRPr="000C530F">
        <w:rPr>
          <w:rFonts w:eastAsia="Calibri"/>
          <w:b w:val="0"/>
          <w:lang w:val="vi-VN"/>
        </w:rPr>
        <w:t xml:space="preserve">- </w:t>
      </w:r>
      <w:r w:rsidRPr="000C530F">
        <w:rPr>
          <w:rFonts w:eastAsia="Calibri"/>
          <w:b w:val="0"/>
          <w:lang w:val="it-IT"/>
        </w:rPr>
        <w:t>V</w:t>
      </w:r>
      <w:r w:rsidRPr="000C530F">
        <w:rPr>
          <w:rFonts w:eastAsia="Calibri"/>
          <w:b w:val="0"/>
          <w:lang w:val="vi-VN"/>
        </w:rPr>
        <w:t>ận dụng kết hợp một cách đa dạng nhiều hình thức đánh giá (</w:t>
      </w:r>
      <w:r w:rsidRPr="000C530F">
        <w:rPr>
          <w:rFonts w:eastAsia="Calibri"/>
          <w:b w:val="0"/>
          <w:lang w:val="it-IT"/>
        </w:rPr>
        <w:t xml:space="preserve">đánh giá bằng nhận xét, đánh giá bằng điểm số, </w:t>
      </w:r>
      <w:r w:rsidRPr="000C530F">
        <w:rPr>
          <w:rFonts w:eastAsia="Calibri"/>
          <w:b w:val="0"/>
          <w:lang w:val="vi-VN"/>
        </w:rPr>
        <w:t xml:space="preserve">đánh giá quá trình, đánh giá tổng kết), nhiều phương </w:t>
      </w:r>
      <w:r w:rsidRPr="000C530F">
        <w:rPr>
          <w:rFonts w:eastAsia="Calibri"/>
          <w:b w:val="0"/>
          <w:spacing w:val="-2"/>
          <w:lang w:val="vi-VN"/>
        </w:rPr>
        <w:t>pháp đánh giá (quan sát, ghi lại quá trình thực hiện, vấn đáp, trắc nghiệm khách quan, tự luận, thực hành, các dự án/sản phẩm</w:t>
      </w:r>
      <w:r w:rsidRPr="000C530F">
        <w:rPr>
          <w:rFonts w:eastAsia="Calibri"/>
          <w:b w:val="0"/>
          <w:lang w:val="vi-VN"/>
        </w:rPr>
        <w:t xml:space="preserve"> học tập, thực hiện nhiệm vụ thực tiễn, tự đánh giá,...) và vào những thời điểm thích hợp. Việc đánh giá thường xuyên (đánh giá quá trình) đi liền với tiến trình hoạt động học tập </w:t>
      </w:r>
      <w:r w:rsidRPr="000C530F">
        <w:rPr>
          <w:rFonts w:eastAsia="Calibri"/>
          <w:b w:val="0"/>
          <w:spacing w:val="-4"/>
          <w:lang w:val="vi-VN"/>
        </w:rPr>
        <w:t>của học sinh, tránh tình trạng tách rời giữa quá trình dạy học và quá trình đánh giá.</w:t>
      </w:r>
    </w:p>
    <w:p w14:paraId="7E2DBF0D" w14:textId="77777777" w:rsidR="00AE340A" w:rsidRPr="000C530F" w:rsidRDefault="00AE340A" w:rsidP="000C530F">
      <w:pPr>
        <w:widowControl w:val="0"/>
        <w:spacing w:before="120" w:after="120" w:line="360" w:lineRule="atLeast"/>
        <w:ind w:firstLine="567"/>
        <w:jc w:val="both"/>
        <w:rPr>
          <w:rFonts w:eastAsia="Calibri"/>
          <w:b w:val="0"/>
          <w:lang w:val="vi-VN"/>
        </w:rPr>
      </w:pPr>
      <w:r w:rsidRPr="000C530F">
        <w:rPr>
          <w:rFonts w:eastAsia="Calibri"/>
          <w:b w:val="0"/>
          <w:lang w:val="de-DE"/>
        </w:rPr>
        <w:t xml:space="preserve">- </w:t>
      </w:r>
      <w:r w:rsidRPr="000C530F">
        <w:rPr>
          <w:rFonts w:eastAsia="Calibri"/>
          <w:b w:val="0"/>
          <w:lang w:val="vi-VN"/>
        </w:rPr>
        <w:t xml:space="preserve">Chú trọng đánh giá thường xuyên đối với tất cả </w:t>
      </w:r>
      <w:r w:rsidRPr="000C530F">
        <w:rPr>
          <w:rFonts w:eastAsia="Calibri"/>
          <w:b w:val="0"/>
          <w:lang w:val="de-DE"/>
        </w:rPr>
        <w:t>HS</w:t>
      </w:r>
      <w:r w:rsidRPr="000C530F">
        <w:rPr>
          <w:rFonts w:eastAsia="Calibri"/>
          <w:b w:val="0"/>
          <w:lang w:val="vi-VN"/>
        </w:rPr>
        <w:t xml:space="preserve">: đánh giá qua các hoạt động trên lớp; đánh giá qua hồ sơ học tập, vở học tập; đánh giá qua việc </w:t>
      </w:r>
      <w:r w:rsidRPr="000C530F">
        <w:rPr>
          <w:rFonts w:eastAsia="Calibri"/>
          <w:b w:val="0"/>
          <w:lang w:val="de-DE"/>
        </w:rPr>
        <w:t xml:space="preserve">HS </w:t>
      </w:r>
      <w:r w:rsidRPr="000C530F">
        <w:rPr>
          <w:rFonts w:eastAsia="Calibri"/>
          <w:b w:val="0"/>
          <w:lang w:val="vi-VN"/>
        </w:rPr>
        <w:t xml:space="preserve">báo cáo kết quả thực hiện một dự án học tập, nghiên cứu khoa học, kĩ thuật, báo cáo kết quả thực hành, thí nghiệm; đánh giá qua bài thuyết trình (bài viết, bài trình chiếu, video clip…) về kết quả thực hiện nhiệm vụ học tập. </w:t>
      </w:r>
    </w:p>
    <w:p w14:paraId="3C0754BA" w14:textId="207BD8FD" w:rsidR="00AE340A" w:rsidRPr="000C530F" w:rsidRDefault="00AE340A" w:rsidP="000C530F">
      <w:pPr>
        <w:widowControl w:val="0"/>
        <w:snapToGrid w:val="0"/>
        <w:spacing w:before="120" w:after="60" w:line="360" w:lineRule="atLeast"/>
        <w:ind w:firstLine="567"/>
        <w:jc w:val="both"/>
        <w:rPr>
          <w:rFonts w:eastAsia="Calibri"/>
          <w:b w:val="0"/>
          <w:lang w:val="vi-VN"/>
        </w:rPr>
      </w:pPr>
      <w:r w:rsidRPr="000C530F">
        <w:rPr>
          <w:rFonts w:eastAsia="Calibri"/>
          <w:b w:val="0"/>
          <w:spacing w:val="-2"/>
          <w:lang w:val="vi-VN"/>
        </w:rPr>
        <w:t>- Thực hiện nghiêm túc đ</w:t>
      </w:r>
      <w:r w:rsidRPr="000C530F">
        <w:rPr>
          <w:b w:val="0"/>
          <w:shd w:val="clear" w:color="auto" w:fill="FFFFFF"/>
          <w:lang w:val="vi-VN"/>
        </w:rPr>
        <w:t>ánh giá định kì, gồm đánh giá giữa kì và đánh giá cuối kì, được thực hiện thông qua: bài kiểm tra (trên giấy hoặc trên máy tính), bài thực hành, dự án học tập</w:t>
      </w:r>
      <w:r w:rsidRPr="000C530F">
        <w:rPr>
          <w:b w:val="0"/>
          <w:lang w:val="vi-VN"/>
        </w:rPr>
        <w:t>.</w:t>
      </w:r>
      <w:r w:rsidRPr="000C530F">
        <w:rPr>
          <w:rFonts w:eastAsia="Calibri"/>
          <w:b w:val="0"/>
          <w:spacing w:val="-2"/>
          <w:lang w:val="vi-VN"/>
        </w:rPr>
        <w:t xml:space="preserve"> </w:t>
      </w:r>
      <w:r w:rsidRPr="000C530F">
        <w:rPr>
          <w:rFonts w:eastAsia="Calibri"/>
          <w:b w:val="0"/>
          <w:lang w:val="vi-VN"/>
        </w:rPr>
        <w:t xml:space="preserve">Đề kiểm tra bao gồm các câu hỏi, bài tập (tự luận và trắc nghiệm) theo </w:t>
      </w:r>
      <w:r w:rsidR="002A5D83" w:rsidRPr="000C530F">
        <w:rPr>
          <w:rFonts w:eastAsia="Calibri"/>
          <w:b w:val="0"/>
          <w:lang w:val="en-US"/>
        </w:rPr>
        <w:t>3</w:t>
      </w:r>
      <w:r w:rsidRPr="000C530F">
        <w:rPr>
          <w:rFonts w:eastAsia="Calibri"/>
          <w:b w:val="0"/>
          <w:lang w:val="vi-VN"/>
        </w:rPr>
        <w:t xml:space="preserve"> mức độ yêu cầu: Nhận biết, Thông hiểu, Vận dụng. Căn cứ vào mức độ phát triển năng lực của HS ở từng học kỳ và từng khối lớp, GV và nhà trường xác định tỉ lệ các câu hỏi, bài tập theo </w:t>
      </w:r>
      <w:r w:rsidR="00B16E40" w:rsidRPr="000C530F">
        <w:rPr>
          <w:rFonts w:eastAsia="Calibri"/>
          <w:b w:val="0"/>
          <w:lang w:val="en-US"/>
        </w:rPr>
        <w:t>3</w:t>
      </w:r>
      <w:r w:rsidRPr="000C530F">
        <w:rPr>
          <w:rFonts w:eastAsia="Calibri"/>
          <w:b w:val="0"/>
          <w:lang w:val="vi-VN"/>
        </w:rPr>
        <w:t xml:space="preserve"> mức độ trong các bài kiểm tra trên nguyên tắc đảm bảo sự phù hợp với đối tượng và tăng dần tỉ lệ các câu hỏi, bài tập ở yêu cầu vận dụng.</w:t>
      </w:r>
    </w:p>
    <w:p w14:paraId="004A38EB" w14:textId="3E3184FE" w:rsidR="00AE340A" w:rsidRPr="000C530F" w:rsidRDefault="00AE340A" w:rsidP="000C530F">
      <w:pPr>
        <w:widowControl w:val="0"/>
        <w:spacing w:before="120" w:after="120" w:line="360" w:lineRule="atLeast"/>
        <w:ind w:firstLine="567"/>
        <w:jc w:val="both"/>
        <w:rPr>
          <w:rFonts w:eastAsia="Calibri"/>
          <w:b w:val="0"/>
          <w:lang w:val="vi-VN"/>
        </w:rPr>
      </w:pPr>
      <w:r w:rsidRPr="000C530F">
        <w:rPr>
          <w:rFonts w:eastAsia="Calibri"/>
          <w:b w:val="0"/>
          <w:spacing w:val="-2"/>
          <w:lang w:val="vi-VN"/>
        </w:rPr>
        <w:t xml:space="preserve">- </w:t>
      </w:r>
      <w:r w:rsidRPr="000C530F">
        <w:rPr>
          <w:rFonts w:eastAsia="Calibri"/>
          <w:b w:val="0"/>
          <w:lang w:val="vi-VN"/>
        </w:rPr>
        <w:t>Kết hợp một cách hợp lí giữa hình thức trắc nghiệm tự luận với trắc nghiệm khách quan, giữa kiểm tra lí thuyết và kiểm tra thực hành trong các bài kiểm tra; tiếp tục nâng cao yêu cầu vận dụng kiến thức liên môn vào thực tiễ</w:t>
      </w:r>
      <w:r w:rsidR="00B16E40" w:rsidRPr="000C530F">
        <w:rPr>
          <w:rFonts w:eastAsia="Calibri"/>
          <w:b w:val="0"/>
          <w:lang w:val="vi-VN"/>
        </w:rPr>
        <w:t>n.</w:t>
      </w:r>
      <w:r w:rsidRPr="000C530F">
        <w:rPr>
          <w:rFonts w:eastAsia="Calibri"/>
          <w:b w:val="0"/>
          <w:lang w:val="vi-VN"/>
        </w:rPr>
        <w:t xml:space="preserve"> </w:t>
      </w:r>
    </w:p>
    <w:p w14:paraId="3A763E94" w14:textId="4776AE15" w:rsidR="00AE340A" w:rsidRPr="000C530F" w:rsidRDefault="00AE340A" w:rsidP="000C530F">
      <w:pPr>
        <w:widowControl w:val="0"/>
        <w:spacing w:before="120" w:after="120" w:line="360" w:lineRule="atLeast"/>
        <w:ind w:firstLine="567"/>
        <w:jc w:val="both"/>
        <w:rPr>
          <w:b w:val="0"/>
          <w:spacing w:val="-4"/>
          <w:lang w:val="vi-VN"/>
        </w:rPr>
      </w:pPr>
      <w:r w:rsidRPr="000C530F">
        <w:rPr>
          <w:rFonts w:eastAsia="Calibri"/>
          <w:b w:val="0"/>
          <w:lang w:val="vi-VN"/>
        </w:rPr>
        <w:t xml:space="preserve">- </w:t>
      </w:r>
      <w:r w:rsidRPr="000C530F">
        <w:rPr>
          <w:b w:val="0"/>
          <w:lang w:val="vi-VN"/>
        </w:rPr>
        <w:t xml:space="preserve">Đẩy mạnh việc duy trì và giữ vững chất lượng đại trà, quan tâm đến giáo dục mũi nhọn, chỉ đạo các trường thông tin tới </w:t>
      </w:r>
      <w:r w:rsidR="00B16E40" w:rsidRPr="000C530F">
        <w:rPr>
          <w:b w:val="0"/>
          <w:lang w:val="en-US"/>
        </w:rPr>
        <w:t>Hội</w:t>
      </w:r>
      <w:r w:rsidRPr="000C530F">
        <w:rPr>
          <w:b w:val="0"/>
          <w:lang w:val="vi-VN"/>
        </w:rPr>
        <w:t xml:space="preserve"> đồng giáo dục và phụ huynh HS về việc đổi mới tuyển sinh vào lớp 10 THPT; coi trọng việc giúp đỡ HS học tập yếu, kém. Phòng GDĐT ra đề rà soát chất lượng môn Toán cho HS lớp 9 (tháng 4/202</w:t>
      </w:r>
      <w:r w:rsidR="003832C3" w:rsidRPr="000C530F">
        <w:rPr>
          <w:b w:val="0"/>
          <w:lang w:val="en-US"/>
        </w:rPr>
        <w:t>5</w:t>
      </w:r>
      <w:r w:rsidRPr="000C530F">
        <w:rPr>
          <w:b w:val="0"/>
          <w:lang w:val="vi-VN"/>
        </w:rPr>
        <w:t xml:space="preserve">), kiểm tra chung cuối học kì I, II với môn Toán lớp 9 theo tiến độ cho toàn đơn vị, tổ chức chấm chéo và rút kinh nghiệm giữa các nhà trường cũng như việc tập huấn đại trà </w:t>
      </w:r>
      <w:r w:rsidRPr="000C530F">
        <w:rPr>
          <w:b w:val="0"/>
          <w:spacing w:val="-4"/>
          <w:lang w:val="vi-VN"/>
        </w:rPr>
        <w:t xml:space="preserve">chuẩn bị tốt về kiến thức, kĩ năng cho đổi mới kì </w:t>
      </w:r>
      <w:r w:rsidRPr="000C530F">
        <w:rPr>
          <w:b w:val="0"/>
          <w:spacing w:val="-4"/>
          <w:lang w:val="vi-VN"/>
        </w:rPr>
        <w:lastRenderedPageBreak/>
        <w:t>thi tuyển sinh lớp 10 THPT từ năm sau.</w:t>
      </w:r>
    </w:p>
    <w:p w14:paraId="654B77E0" w14:textId="77777777" w:rsidR="00EB0732" w:rsidRPr="000C530F" w:rsidRDefault="00EB0732" w:rsidP="000C530F">
      <w:pPr>
        <w:widowControl w:val="0"/>
        <w:spacing w:before="120" w:after="120" w:line="360" w:lineRule="atLeast"/>
        <w:ind w:firstLine="567"/>
        <w:jc w:val="both"/>
        <w:rPr>
          <w:lang w:val="nl-NL"/>
        </w:rPr>
      </w:pPr>
      <w:r w:rsidRPr="000C530F">
        <w:rPr>
          <w:lang w:val="nl-NL"/>
        </w:rPr>
        <w:t xml:space="preserve">4. Về sinh hoạt chuyên môn </w:t>
      </w:r>
    </w:p>
    <w:p w14:paraId="1B42B8E0" w14:textId="081167C3" w:rsidR="00EB0732" w:rsidRPr="000C530F" w:rsidRDefault="00EB0732" w:rsidP="000C530F">
      <w:pPr>
        <w:widowControl w:val="0"/>
        <w:spacing w:before="120" w:after="120" w:line="360" w:lineRule="atLeast"/>
        <w:ind w:firstLine="567"/>
        <w:jc w:val="both"/>
        <w:rPr>
          <w:b w:val="0"/>
          <w:lang w:val="en-US"/>
        </w:rPr>
      </w:pPr>
      <w:r w:rsidRPr="000C530F">
        <w:rPr>
          <w:b w:val="0"/>
          <w:lang w:val="vi-VN"/>
        </w:rPr>
        <w:t>- Căn cứ Công văn số 5555/BGDĐT-GDTrH ngày 08/10/2014 của Bộ GDĐT, Công văn số 10801/SGDĐT-GDTrH ngày 31/10/2014 của Sở GDĐT, các trường chỉ đạo các tổ nhóm chuyên môn đổi mới sinh hoạt tổ/nhóm theo hướng nghiên cứu bài học, thường xuyên tổ chức các bài dạy minh h</w:t>
      </w:r>
      <w:r w:rsidR="006651D8" w:rsidRPr="000C530F">
        <w:rPr>
          <w:b w:val="0"/>
          <w:lang w:val="vi-VN"/>
        </w:rPr>
        <w:t>ọa: xây dựng bài bài dạy minh họ</w:t>
      </w:r>
      <w:r w:rsidRPr="000C530F">
        <w:rPr>
          <w:b w:val="0"/>
          <w:lang w:val="vi-VN"/>
        </w:rPr>
        <w:t>a, thực hiện bài dạy và dự giờ, phân tích rút kinh nghiệm hoàn chỉnh bài dạy</w:t>
      </w:r>
      <w:r w:rsidR="008631BA" w:rsidRPr="000C530F">
        <w:rPr>
          <w:b w:val="0"/>
          <w:lang w:val="en-US"/>
        </w:rPr>
        <w:t>; thường xuyên tổ chức các chuyên đề ôn thi HSG, ứng dụng Công nghệ thông tin, hướng dẫn sử dụng máy tính cầm tay…</w:t>
      </w:r>
      <w:r w:rsidRPr="000C530F">
        <w:rPr>
          <w:b w:val="0"/>
          <w:lang w:val="vi-VN"/>
        </w:rPr>
        <w:t xml:space="preserve"> </w:t>
      </w:r>
      <w:r w:rsidR="008631BA" w:rsidRPr="000C530F">
        <w:rPr>
          <w:b w:val="0"/>
          <w:lang w:val="en-US"/>
        </w:rPr>
        <w:t>X</w:t>
      </w:r>
      <w:r w:rsidRPr="000C530F">
        <w:rPr>
          <w:b w:val="0"/>
          <w:lang w:val="vi-VN"/>
        </w:rPr>
        <w:t>ây dựng các chuyên đề đổi mới dạy học theo hướng</w:t>
      </w:r>
      <w:r w:rsidR="00515709" w:rsidRPr="000C530F">
        <w:rPr>
          <w:b w:val="0"/>
          <w:lang w:val="vi-VN"/>
        </w:rPr>
        <w:t xml:space="preserve"> phát triển năng lực học sinh, c</w:t>
      </w:r>
      <w:r w:rsidRPr="000C530F">
        <w:rPr>
          <w:b w:val="0"/>
          <w:lang w:val="vi-VN"/>
        </w:rPr>
        <w:t xml:space="preserve">hú trọng xây dựng đội ngũ giáo viên cốt cán các môn học. Chủ động triển khai các hoạt động chuyên môn trên </w:t>
      </w:r>
      <w:r w:rsidR="004E234C" w:rsidRPr="000C530F">
        <w:rPr>
          <w:b w:val="0"/>
          <w:lang w:val="en-US"/>
        </w:rPr>
        <w:t>internet</w:t>
      </w:r>
      <w:r w:rsidRPr="000C530F">
        <w:rPr>
          <w:b w:val="0"/>
          <w:lang w:val="vi-VN"/>
        </w:rPr>
        <w:t xml:space="preserve"> để tổ chức, chỉ đạo và hỗ tr</w:t>
      </w:r>
      <w:r w:rsidR="00245BEC" w:rsidRPr="000C530F">
        <w:rPr>
          <w:b w:val="0"/>
          <w:lang w:val="vi-VN"/>
        </w:rPr>
        <w:t>ợ hoạt động bồi dưỡng giáo viên</w:t>
      </w:r>
      <w:r w:rsidR="00245BEC" w:rsidRPr="000C530F">
        <w:rPr>
          <w:b w:val="0"/>
          <w:lang w:val="en-US"/>
        </w:rPr>
        <w:t>,</w:t>
      </w:r>
      <w:r w:rsidRPr="000C530F">
        <w:rPr>
          <w:b w:val="0"/>
          <w:lang w:val="vi-VN"/>
        </w:rPr>
        <w:t xml:space="preserve"> tăng cường tổ chức sinh hoạt chuyên môn tại trường, cụm trường (trực tiếp và </w:t>
      </w:r>
      <w:r w:rsidR="00245BEC" w:rsidRPr="000C530F">
        <w:rPr>
          <w:b w:val="0"/>
          <w:lang w:val="en-US"/>
        </w:rPr>
        <w:t>trực tuyến</w:t>
      </w:r>
      <w:r w:rsidRPr="000C530F">
        <w:rPr>
          <w:b w:val="0"/>
          <w:lang w:val="vi-VN"/>
        </w:rPr>
        <w:t>).</w:t>
      </w:r>
      <w:r w:rsidR="009C4077" w:rsidRPr="000C530F">
        <w:rPr>
          <w:b w:val="0"/>
          <w:lang w:val="en-US"/>
        </w:rPr>
        <w:t xml:space="preserve"> Xây dựng chuyên đề đổi mới kiểm tra đánh giá theo yêu cầu cần đạt của chương trình GDPT 2018, chú trong đối với lớp cuối cấp chuẩn bị cho thi tuyển sinh vào 10 THPT theo ma trận và đề minh họa Sở đã công bố.</w:t>
      </w:r>
    </w:p>
    <w:p w14:paraId="69BB1D73" w14:textId="77777777" w:rsidR="00EB0732" w:rsidRPr="000C530F" w:rsidRDefault="00EB0732" w:rsidP="000C530F">
      <w:pPr>
        <w:widowControl w:val="0"/>
        <w:spacing w:before="120" w:after="120" w:line="360" w:lineRule="atLeast"/>
        <w:ind w:firstLine="567"/>
        <w:jc w:val="both"/>
        <w:rPr>
          <w:b w:val="0"/>
          <w:spacing w:val="-6"/>
          <w:lang w:val="vi-VN"/>
        </w:rPr>
      </w:pPr>
      <w:r w:rsidRPr="000C530F">
        <w:rPr>
          <w:b w:val="0"/>
          <w:lang w:val="vi-VN"/>
        </w:rPr>
        <w:t xml:space="preserve">- Tiếp tục đổi mới dạy học và đánh giá kết quả học tập của học sinh thông qua các hoạt động chuyên môn, tổ chức các sinh hoạt chuyên đề bộ môn trong đơn vị hoặc theo từng cụm trường. Hiệu trưởng các trường chỉ đạo và hướng dẫn cho các tổ/nhóm chuyên môn, giáo viên được chủ động lựa chọn nội dung, xây dựng các chủ đề dạy học trong mỗi môn học. Nâng cao chất lượng dạy học, tăng cường phụ đạo cho học </w:t>
      </w:r>
      <w:r w:rsidRPr="000C530F">
        <w:rPr>
          <w:b w:val="0"/>
          <w:spacing w:val="-6"/>
          <w:lang w:val="vi-VN"/>
        </w:rPr>
        <w:t xml:space="preserve">sinh yếu, kém để giữ vững chất lượng đại trà. Từng bước nâng cao chất lượng mũi nhọn. </w:t>
      </w:r>
    </w:p>
    <w:p w14:paraId="4A65A7D5" w14:textId="77777777" w:rsidR="00EB0732" w:rsidRPr="000C530F" w:rsidRDefault="00EB0732" w:rsidP="000C530F">
      <w:pPr>
        <w:widowControl w:val="0"/>
        <w:spacing w:before="120" w:after="120" w:line="360" w:lineRule="atLeast"/>
        <w:ind w:firstLine="567"/>
        <w:jc w:val="both"/>
        <w:rPr>
          <w:b w:val="0"/>
          <w:lang w:val="nl-NL"/>
        </w:rPr>
      </w:pPr>
      <w:r w:rsidRPr="000C530F">
        <w:rPr>
          <w:b w:val="0"/>
          <w:spacing w:val="-4"/>
          <w:lang w:val="nl-NL"/>
        </w:rPr>
        <w:t xml:space="preserve"> </w:t>
      </w:r>
      <w:r w:rsidRPr="000C530F">
        <w:rPr>
          <w:b w:val="0"/>
          <w:spacing w:val="-4"/>
          <w:lang w:val="nl-NL"/>
        </w:rPr>
        <w:tab/>
      </w:r>
      <w:r w:rsidRPr="000C530F">
        <w:rPr>
          <w:b w:val="0"/>
          <w:lang w:val="nl-NL"/>
        </w:rPr>
        <w:t xml:space="preserve">- Các hoạt động chuyên đề của trường và cụm trường cần tập trung vào việc đổi mới phương pháp theo hướng phát triển năng lực của học sinh. Thông qua các hoạt động chuyên đề tháo gỡ những khó khăn trong việc giảng dạy bài mới, cùng nhau thực hiện đổi mới dạy học, nâng cao hiệu quả kiểm tra và đánh giá học sinh. </w:t>
      </w:r>
    </w:p>
    <w:p w14:paraId="2F6F9D7B" w14:textId="77777777" w:rsidR="00EB0732" w:rsidRPr="000C530F" w:rsidRDefault="00EB0732" w:rsidP="000C530F">
      <w:pPr>
        <w:widowControl w:val="0"/>
        <w:spacing w:before="120" w:after="120" w:line="360" w:lineRule="atLeast"/>
        <w:ind w:firstLine="567"/>
        <w:jc w:val="both"/>
        <w:rPr>
          <w:lang w:val="nl-NL"/>
        </w:rPr>
      </w:pPr>
      <w:r w:rsidRPr="000C530F">
        <w:rPr>
          <w:lang w:val="nl-NL"/>
        </w:rPr>
        <w:t>5. Về công tác bồi dưỡng và nghiên cứu khoa học.</w:t>
      </w:r>
    </w:p>
    <w:p w14:paraId="67F94DA0" w14:textId="77777777" w:rsidR="00EB0732" w:rsidRPr="000C530F" w:rsidRDefault="00EB0732" w:rsidP="000C530F">
      <w:pPr>
        <w:widowControl w:val="0"/>
        <w:spacing w:before="120" w:after="120" w:line="360" w:lineRule="atLeast"/>
        <w:ind w:firstLine="567"/>
        <w:jc w:val="both"/>
        <w:rPr>
          <w:b w:val="0"/>
          <w:spacing w:val="-2"/>
          <w:lang w:val="vi-VN"/>
        </w:rPr>
      </w:pPr>
      <w:r w:rsidRPr="000C530F">
        <w:rPr>
          <w:b w:val="0"/>
          <w:spacing w:val="-2"/>
          <w:lang w:val="vi-VN"/>
        </w:rPr>
        <w:t>- Mỗi giáo viên cần thực hiện tốt các hoạt động tự bồi dưỡng để nâng cao trình độ chuyên môn, nghiệp vụ, hiểu biết xã hội nhằm đáp ứng nhu cầu hiểu biết ngày càng cao của học sinh.</w:t>
      </w:r>
    </w:p>
    <w:p w14:paraId="6223DA13" w14:textId="77777777" w:rsidR="00EB0732" w:rsidRPr="000C530F" w:rsidRDefault="00EB0732" w:rsidP="000C530F">
      <w:pPr>
        <w:widowControl w:val="0"/>
        <w:spacing w:before="120" w:after="120" w:line="360" w:lineRule="atLeast"/>
        <w:ind w:firstLine="567"/>
        <w:jc w:val="both"/>
        <w:rPr>
          <w:b w:val="0"/>
          <w:spacing w:val="-2"/>
          <w:lang w:val="vi-VN"/>
        </w:rPr>
      </w:pPr>
      <w:r w:rsidRPr="000C530F">
        <w:rPr>
          <w:b w:val="0"/>
          <w:spacing w:val="-2"/>
          <w:lang w:val="vi-VN"/>
        </w:rPr>
        <w:t xml:space="preserve">- Kết hợp hoạt động tự bồi dưỡng của từng giáo viên với các buổi sinh hoạt chuyên đề của tổ/nhóm. </w:t>
      </w:r>
    </w:p>
    <w:p w14:paraId="1471FAC6" w14:textId="77777777" w:rsidR="00EB0732" w:rsidRPr="000C530F" w:rsidRDefault="00EB0732" w:rsidP="000C530F">
      <w:pPr>
        <w:widowControl w:val="0"/>
        <w:spacing w:before="120" w:after="120" w:line="360" w:lineRule="atLeast"/>
        <w:ind w:firstLine="567"/>
        <w:jc w:val="both"/>
        <w:rPr>
          <w:b w:val="0"/>
          <w:lang w:val="nl-NL"/>
        </w:rPr>
      </w:pPr>
      <w:r w:rsidRPr="000C530F">
        <w:rPr>
          <w:b w:val="0"/>
          <w:lang w:val="vi-VN"/>
        </w:rPr>
        <w:t xml:space="preserve">- Các trường quán triệt đầy đủ đến cán bộ, giáo viên tham gia đầy đủ các lớp tập huấn do Sở GDĐT và Bộ GDĐT tổ chức. </w:t>
      </w:r>
    </w:p>
    <w:p w14:paraId="73AE38AC" w14:textId="77777777" w:rsidR="00ED7CFC" w:rsidRPr="000C530F" w:rsidRDefault="00ED7CFC" w:rsidP="000C530F">
      <w:pPr>
        <w:widowControl w:val="0"/>
        <w:spacing w:before="120" w:after="120" w:line="360" w:lineRule="atLeast"/>
        <w:ind w:firstLine="567"/>
        <w:jc w:val="both"/>
        <w:rPr>
          <w:lang w:val="nl-NL"/>
        </w:rPr>
      </w:pPr>
      <w:r w:rsidRPr="000C530F">
        <w:rPr>
          <w:lang w:val="nl-NL"/>
        </w:rPr>
        <w:lastRenderedPageBreak/>
        <w:t xml:space="preserve">6. Các kỳ thi của học sinh </w:t>
      </w:r>
    </w:p>
    <w:p w14:paraId="7DC107E8" w14:textId="73D16A5F" w:rsidR="00ED7CFC" w:rsidRPr="000C530F" w:rsidRDefault="00ED7CFC" w:rsidP="000C530F">
      <w:pPr>
        <w:widowControl w:val="0"/>
        <w:shd w:val="clear" w:color="auto" w:fill="FFFFFF"/>
        <w:spacing w:before="120" w:after="120" w:line="360" w:lineRule="atLeast"/>
        <w:ind w:firstLine="567"/>
        <w:jc w:val="both"/>
        <w:rPr>
          <w:b w:val="0"/>
          <w:lang w:val="nl-NL"/>
        </w:rPr>
      </w:pPr>
      <w:r w:rsidRPr="000C530F">
        <w:rPr>
          <w:b w:val="0"/>
          <w:lang w:val="nl-NL"/>
        </w:rPr>
        <w:t>- Kì thi vào lớp 10 THPT: Nội dung kiến thức của đề thi </w:t>
      </w:r>
      <w:hyperlink r:id="rId9" w:tooltip="tuyển sinh lớp 10" w:history="1"/>
      <w:r w:rsidRPr="000C530F">
        <w:rPr>
          <w:b w:val="0"/>
          <w:lang w:val="nl-NL"/>
        </w:rPr>
        <w:t xml:space="preserve">nằm trong chương trình </w:t>
      </w:r>
      <w:r w:rsidR="003832C3" w:rsidRPr="000C530F">
        <w:rPr>
          <w:b w:val="0"/>
          <w:lang w:val="nl-NL"/>
        </w:rPr>
        <w:t>toàn cấp THCS,</w:t>
      </w:r>
      <w:r w:rsidRPr="000C530F">
        <w:rPr>
          <w:b w:val="0"/>
          <w:lang w:val="nl-NL"/>
        </w:rPr>
        <w:t xml:space="preserve"> chủ yếu tập trung ở lớp </w:t>
      </w:r>
      <w:r w:rsidR="00B16E40" w:rsidRPr="000C530F">
        <w:rPr>
          <w:b w:val="0"/>
          <w:lang w:val="nl-NL"/>
        </w:rPr>
        <w:t xml:space="preserve">8, lớp </w:t>
      </w:r>
      <w:r w:rsidRPr="000C530F">
        <w:rPr>
          <w:b w:val="0"/>
          <w:lang w:val="nl-NL"/>
        </w:rPr>
        <w:t xml:space="preserve">9. </w:t>
      </w:r>
      <w:r w:rsidR="003832C3" w:rsidRPr="000C530F">
        <w:rPr>
          <w:b w:val="0"/>
          <w:lang w:val="nl-NL"/>
        </w:rPr>
        <w:t>Nội dung đ</w:t>
      </w:r>
      <w:r w:rsidR="00B16E40" w:rsidRPr="000C530F">
        <w:rPr>
          <w:b w:val="0"/>
          <w:lang w:val="nl-NL"/>
        </w:rPr>
        <w:t>ề th</w:t>
      </w:r>
      <w:r w:rsidR="003832C3" w:rsidRPr="000C530F">
        <w:rPr>
          <w:b w:val="0"/>
          <w:lang w:val="nl-NL"/>
        </w:rPr>
        <w:t>i nhằm đánh giá năng lực theo từ</w:t>
      </w:r>
      <w:r w:rsidR="00B16E40" w:rsidRPr="000C530F">
        <w:rPr>
          <w:b w:val="0"/>
          <w:lang w:val="nl-NL"/>
        </w:rPr>
        <w:t>ng cấp độ; trong đó</w:t>
      </w:r>
      <w:r w:rsidRPr="000C530F">
        <w:rPr>
          <w:b w:val="0"/>
          <w:lang w:val="nl-NL"/>
        </w:rPr>
        <w:t xml:space="preserve">: Nhận biết khoảng </w:t>
      </w:r>
      <w:r w:rsidR="00DE183D" w:rsidRPr="000C530F">
        <w:rPr>
          <w:b w:val="0"/>
          <w:lang w:val="nl-NL"/>
        </w:rPr>
        <w:t>27</w:t>
      </w:r>
      <w:r w:rsidRPr="000C530F">
        <w:rPr>
          <w:b w:val="0"/>
          <w:lang w:val="nl-NL"/>
        </w:rPr>
        <w:t>%; thông hi</w:t>
      </w:r>
      <w:r w:rsidR="0095766F" w:rsidRPr="000C530F">
        <w:rPr>
          <w:b w:val="0"/>
          <w:lang w:val="nl-NL"/>
        </w:rPr>
        <w:t xml:space="preserve">ểu </w:t>
      </w:r>
      <w:r w:rsidR="0066325E" w:rsidRPr="000C530F">
        <w:rPr>
          <w:b w:val="0"/>
          <w:lang w:val="nl-NL"/>
        </w:rPr>
        <w:t xml:space="preserve">khoảng </w:t>
      </w:r>
      <w:r w:rsidR="003832C3" w:rsidRPr="000C530F">
        <w:rPr>
          <w:b w:val="0"/>
          <w:lang w:val="nl-NL"/>
        </w:rPr>
        <w:t>43</w:t>
      </w:r>
      <w:r w:rsidR="0095766F" w:rsidRPr="000C530F">
        <w:rPr>
          <w:b w:val="0"/>
          <w:lang w:val="nl-NL"/>
        </w:rPr>
        <w:t>%; vận dụng khoảng 3</w:t>
      </w:r>
      <w:r w:rsidRPr="000C530F">
        <w:rPr>
          <w:b w:val="0"/>
          <w:lang w:val="nl-NL"/>
        </w:rPr>
        <w:t xml:space="preserve">0%.  </w:t>
      </w:r>
    </w:p>
    <w:p w14:paraId="7FD639DA" w14:textId="5E37AA60" w:rsidR="000C530F" w:rsidRPr="00BB7A87" w:rsidRDefault="000C530F" w:rsidP="00B05534">
      <w:pPr>
        <w:widowControl w:val="0"/>
        <w:shd w:val="clear" w:color="auto" w:fill="FFFFFF"/>
        <w:spacing w:line="344" w:lineRule="atLeast"/>
        <w:ind w:firstLine="567"/>
        <w:jc w:val="center"/>
        <w:rPr>
          <w:lang w:val="nl-NL"/>
        </w:rPr>
      </w:pPr>
      <w:r>
        <w:rPr>
          <w:lang w:val="nl-NL"/>
        </w:rPr>
        <w:t>BẢNG NĂNG LỰC VÀ CẤP ĐỘ TƯ DUY ĐỀ MINH HỌA KỲ THI TUYỂN SINH LỚP 10 THPT</w:t>
      </w:r>
      <w:r w:rsidR="00B05534">
        <w:rPr>
          <w:lang w:val="vi-VN"/>
        </w:rPr>
        <w:t xml:space="preserve"> </w:t>
      </w:r>
      <w:r>
        <w:rPr>
          <w:lang w:val="nl-NL"/>
        </w:rPr>
        <w:t>THEO CHƯƠNG TRÌNH 2018</w:t>
      </w:r>
    </w:p>
    <w:tbl>
      <w:tblPr>
        <w:tblStyle w:val="TableGrid"/>
        <w:tblW w:w="10348" w:type="dxa"/>
        <w:tblInd w:w="-572" w:type="dxa"/>
        <w:tblLayout w:type="fixed"/>
        <w:tblLook w:val="04A0" w:firstRow="1" w:lastRow="0" w:firstColumn="1" w:lastColumn="0" w:noHBand="0" w:noVBand="1"/>
      </w:tblPr>
      <w:tblGrid>
        <w:gridCol w:w="1293"/>
        <w:gridCol w:w="1049"/>
        <w:gridCol w:w="1049"/>
        <w:gridCol w:w="1001"/>
        <w:gridCol w:w="986"/>
        <w:gridCol w:w="995"/>
        <w:gridCol w:w="1002"/>
        <w:gridCol w:w="1035"/>
        <w:gridCol w:w="1088"/>
        <w:gridCol w:w="850"/>
      </w:tblGrid>
      <w:tr w:rsidR="00B16E40" w:rsidRPr="00BB7A87" w14:paraId="7D65AD05" w14:textId="77777777" w:rsidTr="00684815">
        <w:tc>
          <w:tcPr>
            <w:tcW w:w="1293" w:type="dxa"/>
            <w:vMerge w:val="restart"/>
            <w:vAlign w:val="center"/>
          </w:tcPr>
          <w:p w14:paraId="0E88DB0E" w14:textId="77777777" w:rsidR="00497F06" w:rsidRPr="00BB7A87" w:rsidRDefault="00497F06" w:rsidP="00CD1A6A">
            <w:pPr>
              <w:jc w:val="center"/>
              <w:rPr>
                <w:b w:val="0"/>
                <w:bCs/>
              </w:rPr>
            </w:pPr>
            <w:r w:rsidRPr="00BB7A87">
              <w:rPr>
                <w:bCs/>
              </w:rPr>
              <w:t>NĂNG LỰC</w:t>
            </w:r>
          </w:p>
        </w:tc>
        <w:tc>
          <w:tcPr>
            <w:tcW w:w="9055" w:type="dxa"/>
            <w:gridSpan w:val="9"/>
            <w:vAlign w:val="center"/>
          </w:tcPr>
          <w:p w14:paraId="334872B7" w14:textId="77777777" w:rsidR="00497F06" w:rsidRPr="00BB7A87" w:rsidRDefault="00497F06" w:rsidP="00CD1A6A">
            <w:pPr>
              <w:jc w:val="center"/>
              <w:rPr>
                <w:b w:val="0"/>
                <w:bCs/>
              </w:rPr>
            </w:pPr>
            <w:r w:rsidRPr="00BB7A87">
              <w:rPr>
                <w:bCs/>
              </w:rPr>
              <w:t>MẠCH KIẾN THỨC</w:t>
            </w:r>
          </w:p>
        </w:tc>
      </w:tr>
      <w:tr w:rsidR="00B16E40" w:rsidRPr="00BB7A87" w14:paraId="60BD8970" w14:textId="77777777" w:rsidTr="00684815">
        <w:tc>
          <w:tcPr>
            <w:tcW w:w="1293" w:type="dxa"/>
            <w:vMerge/>
            <w:vAlign w:val="center"/>
          </w:tcPr>
          <w:p w14:paraId="40AB9127" w14:textId="77777777" w:rsidR="00497F06" w:rsidRPr="00BB7A87" w:rsidRDefault="00497F06" w:rsidP="00CD1A6A">
            <w:pPr>
              <w:jc w:val="center"/>
              <w:rPr>
                <w:b w:val="0"/>
                <w:bCs/>
              </w:rPr>
            </w:pPr>
          </w:p>
        </w:tc>
        <w:tc>
          <w:tcPr>
            <w:tcW w:w="3099" w:type="dxa"/>
            <w:gridSpan w:val="3"/>
            <w:vAlign w:val="center"/>
          </w:tcPr>
          <w:p w14:paraId="10EC5438" w14:textId="77777777" w:rsidR="00497F06" w:rsidRPr="00BB7A87" w:rsidRDefault="00497F06" w:rsidP="00CD1A6A">
            <w:pPr>
              <w:jc w:val="center"/>
              <w:rPr>
                <w:b w:val="0"/>
                <w:bCs/>
              </w:rPr>
            </w:pPr>
            <w:r w:rsidRPr="00BB7A87">
              <w:rPr>
                <w:bCs/>
              </w:rPr>
              <w:t>Đại số - Số học</w:t>
            </w:r>
          </w:p>
        </w:tc>
        <w:tc>
          <w:tcPr>
            <w:tcW w:w="2983" w:type="dxa"/>
            <w:gridSpan w:val="3"/>
            <w:vAlign w:val="center"/>
          </w:tcPr>
          <w:p w14:paraId="5567B405" w14:textId="77777777" w:rsidR="00497F06" w:rsidRPr="00BB7A87" w:rsidRDefault="00497F06" w:rsidP="00CD1A6A">
            <w:pPr>
              <w:jc w:val="center"/>
              <w:rPr>
                <w:b w:val="0"/>
                <w:bCs/>
              </w:rPr>
            </w:pPr>
            <w:r w:rsidRPr="00BB7A87">
              <w:rPr>
                <w:bCs/>
              </w:rPr>
              <w:t>Hình học</w:t>
            </w:r>
          </w:p>
        </w:tc>
        <w:tc>
          <w:tcPr>
            <w:tcW w:w="2973" w:type="dxa"/>
            <w:gridSpan w:val="3"/>
            <w:vAlign w:val="center"/>
          </w:tcPr>
          <w:p w14:paraId="06720F31" w14:textId="77777777" w:rsidR="00497F06" w:rsidRPr="00BB7A87" w:rsidRDefault="00497F06" w:rsidP="00CD1A6A">
            <w:pPr>
              <w:jc w:val="center"/>
              <w:rPr>
                <w:b w:val="0"/>
                <w:bCs/>
              </w:rPr>
            </w:pPr>
            <w:r w:rsidRPr="00BB7A87">
              <w:rPr>
                <w:bCs/>
              </w:rPr>
              <w:t>Thống kê – Xác suất</w:t>
            </w:r>
          </w:p>
        </w:tc>
      </w:tr>
      <w:tr w:rsidR="00B16E40" w:rsidRPr="00BB7A87" w14:paraId="110293B4" w14:textId="77777777" w:rsidTr="00684815">
        <w:tc>
          <w:tcPr>
            <w:tcW w:w="1293" w:type="dxa"/>
            <w:vMerge/>
            <w:vAlign w:val="center"/>
          </w:tcPr>
          <w:p w14:paraId="624E8832" w14:textId="77777777" w:rsidR="00497F06" w:rsidRPr="00BB7A87" w:rsidRDefault="00497F06" w:rsidP="00CD1A6A">
            <w:pPr>
              <w:jc w:val="center"/>
              <w:rPr>
                <w:b w:val="0"/>
                <w:bCs/>
              </w:rPr>
            </w:pPr>
          </w:p>
        </w:tc>
        <w:tc>
          <w:tcPr>
            <w:tcW w:w="1049" w:type="dxa"/>
            <w:vAlign w:val="center"/>
          </w:tcPr>
          <w:p w14:paraId="79CBBF53" w14:textId="77777777" w:rsidR="00497F06" w:rsidRPr="00BB7A87" w:rsidRDefault="00497F06" w:rsidP="00CD1A6A">
            <w:pPr>
              <w:jc w:val="center"/>
              <w:rPr>
                <w:b w:val="0"/>
                <w:bCs/>
              </w:rPr>
            </w:pPr>
            <w:r w:rsidRPr="00BB7A87">
              <w:rPr>
                <w:b w:val="0"/>
                <w:bCs/>
              </w:rPr>
              <w:t>Nhận biết</w:t>
            </w:r>
          </w:p>
        </w:tc>
        <w:tc>
          <w:tcPr>
            <w:tcW w:w="1049" w:type="dxa"/>
            <w:vAlign w:val="center"/>
          </w:tcPr>
          <w:p w14:paraId="1877D934" w14:textId="77777777" w:rsidR="00497F06" w:rsidRPr="00BB7A87" w:rsidRDefault="00497F06" w:rsidP="00CD1A6A">
            <w:pPr>
              <w:jc w:val="center"/>
              <w:rPr>
                <w:b w:val="0"/>
                <w:bCs/>
              </w:rPr>
            </w:pPr>
            <w:r w:rsidRPr="00BB7A87">
              <w:rPr>
                <w:b w:val="0"/>
                <w:bCs/>
              </w:rPr>
              <w:t>Thông hiểu</w:t>
            </w:r>
          </w:p>
        </w:tc>
        <w:tc>
          <w:tcPr>
            <w:tcW w:w="1001" w:type="dxa"/>
            <w:vAlign w:val="center"/>
          </w:tcPr>
          <w:p w14:paraId="48D451B8" w14:textId="77777777" w:rsidR="00497F06" w:rsidRPr="00BB7A87" w:rsidRDefault="00497F06" w:rsidP="00CD1A6A">
            <w:pPr>
              <w:jc w:val="center"/>
              <w:rPr>
                <w:b w:val="0"/>
                <w:bCs/>
              </w:rPr>
            </w:pPr>
            <w:r w:rsidRPr="00BB7A87">
              <w:rPr>
                <w:b w:val="0"/>
                <w:bCs/>
              </w:rPr>
              <w:t>Vận dụng</w:t>
            </w:r>
          </w:p>
        </w:tc>
        <w:tc>
          <w:tcPr>
            <w:tcW w:w="986" w:type="dxa"/>
            <w:vAlign w:val="center"/>
          </w:tcPr>
          <w:p w14:paraId="144FD1AB" w14:textId="77777777" w:rsidR="00497F06" w:rsidRPr="00BB7A87" w:rsidRDefault="00497F06" w:rsidP="00CD1A6A">
            <w:pPr>
              <w:jc w:val="center"/>
              <w:rPr>
                <w:b w:val="0"/>
                <w:bCs/>
              </w:rPr>
            </w:pPr>
            <w:r w:rsidRPr="00BB7A87">
              <w:rPr>
                <w:b w:val="0"/>
                <w:bCs/>
              </w:rPr>
              <w:t>Nhận biết</w:t>
            </w:r>
          </w:p>
        </w:tc>
        <w:tc>
          <w:tcPr>
            <w:tcW w:w="995" w:type="dxa"/>
            <w:vAlign w:val="center"/>
          </w:tcPr>
          <w:p w14:paraId="552B4E15" w14:textId="77777777" w:rsidR="00497F06" w:rsidRPr="00BB7A87" w:rsidRDefault="00497F06" w:rsidP="00CD1A6A">
            <w:pPr>
              <w:jc w:val="center"/>
              <w:rPr>
                <w:b w:val="0"/>
                <w:bCs/>
              </w:rPr>
            </w:pPr>
            <w:r w:rsidRPr="00BB7A87">
              <w:rPr>
                <w:b w:val="0"/>
                <w:bCs/>
              </w:rPr>
              <w:t>Thông hiểu</w:t>
            </w:r>
          </w:p>
        </w:tc>
        <w:tc>
          <w:tcPr>
            <w:tcW w:w="1002" w:type="dxa"/>
            <w:vAlign w:val="center"/>
          </w:tcPr>
          <w:p w14:paraId="795F67F9" w14:textId="77777777" w:rsidR="00497F06" w:rsidRPr="00BB7A87" w:rsidRDefault="00497F06" w:rsidP="00CD1A6A">
            <w:pPr>
              <w:jc w:val="center"/>
              <w:rPr>
                <w:b w:val="0"/>
                <w:bCs/>
              </w:rPr>
            </w:pPr>
            <w:r w:rsidRPr="00BB7A87">
              <w:rPr>
                <w:b w:val="0"/>
                <w:bCs/>
              </w:rPr>
              <w:t>Vận dụng</w:t>
            </w:r>
          </w:p>
        </w:tc>
        <w:tc>
          <w:tcPr>
            <w:tcW w:w="1035" w:type="dxa"/>
            <w:vAlign w:val="center"/>
          </w:tcPr>
          <w:p w14:paraId="5C24AE52" w14:textId="77777777" w:rsidR="00497F06" w:rsidRPr="00BB7A87" w:rsidRDefault="00497F06" w:rsidP="00CD1A6A">
            <w:pPr>
              <w:jc w:val="center"/>
              <w:rPr>
                <w:b w:val="0"/>
                <w:bCs/>
              </w:rPr>
            </w:pPr>
            <w:r w:rsidRPr="00BB7A87">
              <w:rPr>
                <w:b w:val="0"/>
                <w:bCs/>
              </w:rPr>
              <w:t>Nhận biết</w:t>
            </w:r>
          </w:p>
        </w:tc>
        <w:tc>
          <w:tcPr>
            <w:tcW w:w="1088" w:type="dxa"/>
            <w:vAlign w:val="center"/>
          </w:tcPr>
          <w:p w14:paraId="06406B2A" w14:textId="77777777" w:rsidR="00497F06" w:rsidRPr="00BB7A87" w:rsidRDefault="00497F06" w:rsidP="00CD1A6A">
            <w:pPr>
              <w:jc w:val="center"/>
              <w:rPr>
                <w:b w:val="0"/>
                <w:bCs/>
              </w:rPr>
            </w:pPr>
            <w:r w:rsidRPr="00BB7A87">
              <w:rPr>
                <w:b w:val="0"/>
                <w:bCs/>
              </w:rPr>
              <w:t>Thông hiểu</w:t>
            </w:r>
          </w:p>
        </w:tc>
        <w:tc>
          <w:tcPr>
            <w:tcW w:w="850" w:type="dxa"/>
            <w:vAlign w:val="center"/>
          </w:tcPr>
          <w:p w14:paraId="705BE8E5" w14:textId="77777777" w:rsidR="00497F06" w:rsidRPr="00BB7A87" w:rsidRDefault="00497F06" w:rsidP="00CD1A6A">
            <w:pPr>
              <w:jc w:val="center"/>
              <w:rPr>
                <w:b w:val="0"/>
                <w:bCs/>
              </w:rPr>
            </w:pPr>
            <w:r w:rsidRPr="00BB7A87">
              <w:rPr>
                <w:b w:val="0"/>
                <w:bCs/>
              </w:rPr>
              <w:t>Vận dụng</w:t>
            </w:r>
          </w:p>
        </w:tc>
      </w:tr>
      <w:tr w:rsidR="00B16E40" w:rsidRPr="00BB7A87" w14:paraId="2E0959F5" w14:textId="77777777" w:rsidTr="00684815">
        <w:tc>
          <w:tcPr>
            <w:tcW w:w="1293" w:type="dxa"/>
            <w:vAlign w:val="center"/>
          </w:tcPr>
          <w:p w14:paraId="2AE91345" w14:textId="77777777" w:rsidR="00497F06" w:rsidRPr="00BB7A87" w:rsidRDefault="00497F06" w:rsidP="00CD1A6A">
            <w:pPr>
              <w:jc w:val="center"/>
            </w:pPr>
            <w:r w:rsidRPr="00BB7A87">
              <w:t>Tư duy và lập luận Toán học</w:t>
            </w:r>
          </w:p>
        </w:tc>
        <w:tc>
          <w:tcPr>
            <w:tcW w:w="1049" w:type="dxa"/>
          </w:tcPr>
          <w:p w14:paraId="4A94FE5B" w14:textId="77777777" w:rsidR="00497F06" w:rsidRPr="00BB7A87" w:rsidRDefault="00497F06" w:rsidP="00CD1A6A">
            <w:pPr>
              <w:jc w:val="center"/>
              <w:rPr>
                <w:b w:val="0"/>
                <w:bCs/>
              </w:rPr>
            </w:pPr>
          </w:p>
        </w:tc>
        <w:tc>
          <w:tcPr>
            <w:tcW w:w="1049" w:type="dxa"/>
          </w:tcPr>
          <w:p w14:paraId="50EEBD0D" w14:textId="77777777" w:rsidR="00497F06" w:rsidRPr="00BB7A87" w:rsidRDefault="00497F06" w:rsidP="00CD1A6A">
            <w:pPr>
              <w:jc w:val="center"/>
              <w:rPr>
                <w:b w:val="0"/>
                <w:bCs/>
              </w:rPr>
            </w:pPr>
          </w:p>
        </w:tc>
        <w:tc>
          <w:tcPr>
            <w:tcW w:w="1001" w:type="dxa"/>
          </w:tcPr>
          <w:p w14:paraId="71D78D50" w14:textId="77777777" w:rsidR="00497F06" w:rsidRPr="00BB7A87" w:rsidRDefault="00497F06" w:rsidP="00CD1A6A">
            <w:pPr>
              <w:jc w:val="center"/>
              <w:rPr>
                <w:b w:val="0"/>
              </w:rPr>
            </w:pPr>
            <w:r w:rsidRPr="00BB7A87">
              <w:rPr>
                <w:b w:val="0"/>
              </w:rPr>
              <w:t>(0,5đ)</w:t>
            </w:r>
          </w:p>
          <w:p w14:paraId="75551DFC" w14:textId="77777777" w:rsidR="00497F06" w:rsidRPr="00BB7A87" w:rsidRDefault="00497F06" w:rsidP="00CD1A6A">
            <w:pPr>
              <w:jc w:val="center"/>
              <w:rPr>
                <w:b w:val="0"/>
              </w:rPr>
            </w:pPr>
          </w:p>
          <w:p w14:paraId="5D6C4A5A" w14:textId="77777777" w:rsidR="00497F06" w:rsidRPr="00BB7A87" w:rsidRDefault="00497F06" w:rsidP="00CD1A6A">
            <w:pPr>
              <w:jc w:val="center"/>
              <w:rPr>
                <w:b w:val="0"/>
              </w:rPr>
            </w:pPr>
          </w:p>
          <w:p w14:paraId="1E6D37A3" w14:textId="77777777" w:rsidR="00497F06" w:rsidRPr="00BB7A87" w:rsidRDefault="00497F06" w:rsidP="00CD1A6A">
            <w:pPr>
              <w:jc w:val="center"/>
              <w:rPr>
                <w:b w:val="0"/>
                <w:bCs/>
              </w:rPr>
            </w:pPr>
          </w:p>
        </w:tc>
        <w:tc>
          <w:tcPr>
            <w:tcW w:w="986" w:type="dxa"/>
          </w:tcPr>
          <w:p w14:paraId="5EFC32FE" w14:textId="77777777" w:rsidR="00497F06" w:rsidRPr="00BB7A87" w:rsidRDefault="00497F06" w:rsidP="00CD1A6A">
            <w:pPr>
              <w:jc w:val="center"/>
              <w:rPr>
                <w:b w:val="0"/>
                <w:bCs/>
              </w:rPr>
            </w:pPr>
          </w:p>
        </w:tc>
        <w:tc>
          <w:tcPr>
            <w:tcW w:w="995" w:type="dxa"/>
          </w:tcPr>
          <w:p w14:paraId="0C3D1EC1" w14:textId="77777777" w:rsidR="00497F06" w:rsidRPr="00BB7A87" w:rsidRDefault="00497F06" w:rsidP="00CD1A6A">
            <w:pPr>
              <w:jc w:val="center"/>
              <w:rPr>
                <w:b w:val="0"/>
                <w:bCs/>
              </w:rPr>
            </w:pPr>
            <w:r w:rsidRPr="00BB7A87">
              <w:rPr>
                <w:b w:val="0"/>
              </w:rPr>
              <w:t xml:space="preserve"> (1,0đ)</w:t>
            </w:r>
          </w:p>
        </w:tc>
        <w:tc>
          <w:tcPr>
            <w:tcW w:w="1002" w:type="dxa"/>
          </w:tcPr>
          <w:p w14:paraId="1FD19BD8" w14:textId="77777777" w:rsidR="00497F06" w:rsidRPr="00BB7A87" w:rsidRDefault="00497F06" w:rsidP="00CD1A6A">
            <w:pPr>
              <w:jc w:val="center"/>
              <w:rPr>
                <w:b w:val="0"/>
              </w:rPr>
            </w:pPr>
            <w:r w:rsidRPr="00BB7A87">
              <w:rPr>
                <w:b w:val="0"/>
              </w:rPr>
              <w:t>(1,5đ)</w:t>
            </w:r>
          </w:p>
          <w:p w14:paraId="47547D1E" w14:textId="77777777" w:rsidR="00497F06" w:rsidRPr="00BB7A87" w:rsidRDefault="00497F06" w:rsidP="00CD1A6A">
            <w:pPr>
              <w:jc w:val="center"/>
              <w:rPr>
                <w:b w:val="0"/>
              </w:rPr>
            </w:pPr>
          </w:p>
          <w:p w14:paraId="0F50C4F6" w14:textId="77777777" w:rsidR="00497F06" w:rsidRPr="00BB7A87" w:rsidRDefault="00497F06" w:rsidP="00CD1A6A">
            <w:pPr>
              <w:jc w:val="center"/>
              <w:rPr>
                <w:b w:val="0"/>
              </w:rPr>
            </w:pPr>
          </w:p>
          <w:p w14:paraId="28A0DBC6" w14:textId="77777777" w:rsidR="00497F06" w:rsidRPr="00BB7A87" w:rsidRDefault="00497F06" w:rsidP="00CD1A6A">
            <w:pPr>
              <w:jc w:val="center"/>
              <w:rPr>
                <w:b w:val="0"/>
                <w:bCs/>
              </w:rPr>
            </w:pPr>
          </w:p>
        </w:tc>
        <w:tc>
          <w:tcPr>
            <w:tcW w:w="1035" w:type="dxa"/>
          </w:tcPr>
          <w:p w14:paraId="3E1BFC91" w14:textId="77777777" w:rsidR="00497F06" w:rsidRPr="00BB7A87" w:rsidRDefault="00497F06" w:rsidP="00CD1A6A">
            <w:pPr>
              <w:jc w:val="center"/>
              <w:rPr>
                <w:b w:val="0"/>
                <w:bCs/>
              </w:rPr>
            </w:pPr>
          </w:p>
        </w:tc>
        <w:tc>
          <w:tcPr>
            <w:tcW w:w="1088" w:type="dxa"/>
          </w:tcPr>
          <w:p w14:paraId="52B52502" w14:textId="77777777" w:rsidR="00497F06" w:rsidRPr="00BB7A87" w:rsidRDefault="00497F06" w:rsidP="00CD1A6A">
            <w:pPr>
              <w:jc w:val="center"/>
              <w:rPr>
                <w:b w:val="0"/>
                <w:bCs/>
              </w:rPr>
            </w:pPr>
          </w:p>
        </w:tc>
        <w:tc>
          <w:tcPr>
            <w:tcW w:w="850" w:type="dxa"/>
          </w:tcPr>
          <w:p w14:paraId="0A59B1DE" w14:textId="77777777" w:rsidR="00497F06" w:rsidRPr="00BB7A87" w:rsidRDefault="00497F06" w:rsidP="00CD1A6A">
            <w:pPr>
              <w:jc w:val="center"/>
              <w:rPr>
                <w:b w:val="0"/>
                <w:bCs/>
              </w:rPr>
            </w:pPr>
          </w:p>
        </w:tc>
      </w:tr>
      <w:tr w:rsidR="00B16E40" w:rsidRPr="00BB7A87" w14:paraId="6735A237" w14:textId="77777777" w:rsidTr="00684815">
        <w:tc>
          <w:tcPr>
            <w:tcW w:w="1293" w:type="dxa"/>
            <w:vAlign w:val="center"/>
          </w:tcPr>
          <w:p w14:paraId="37CCCA58" w14:textId="77777777" w:rsidR="00497F06" w:rsidRPr="00BB7A87" w:rsidRDefault="00497F06" w:rsidP="00CD1A6A">
            <w:pPr>
              <w:jc w:val="center"/>
            </w:pPr>
            <w:r w:rsidRPr="00BB7A87">
              <w:t>Giải quyết vấn đề Toán học</w:t>
            </w:r>
          </w:p>
        </w:tc>
        <w:tc>
          <w:tcPr>
            <w:tcW w:w="1049" w:type="dxa"/>
          </w:tcPr>
          <w:p w14:paraId="467B709A" w14:textId="77777777" w:rsidR="00497F06" w:rsidRPr="00BB7A87" w:rsidRDefault="00497F06" w:rsidP="00CD1A6A">
            <w:pPr>
              <w:jc w:val="center"/>
              <w:rPr>
                <w:b w:val="0"/>
                <w:bCs/>
              </w:rPr>
            </w:pPr>
            <w:r w:rsidRPr="00BB7A87">
              <w:rPr>
                <w:b w:val="0"/>
              </w:rPr>
              <w:t>(0,25đ)</w:t>
            </w:r>
          </w:p>
        </w:tc>
        <w:tc>
          <w:tcPr>
            <w:tcW w:w="1049" w:type="dxa"/>
          </w:tcPr>
          <w:p w14:paraId="089BAD99" w14:textId="77777777" w:rsidR="00497F06" w:rsidRPr="00BB7A87" w:rsidRDefault="00497F06" w:rsidP="00CD1A6A">
            <w:pPr>
              <w:jc w:val="center"/>
              <w:rPr>
                <w:b w:val="0"/>
              </w:rPr>
            </w:pPr>
            <w:r w:rsidRPr="00BB7A87">
              <w:rPr>
                <w:b w:val="0"/>
              </w:rPr>
              <w:t>(0,75đ)</w:t>
            </w:r>
          </w:p>
          <w:p w14:paraId="575F7E67" w14:textId="77777777" w:rsidR="00497F06" w:rsidRPr="00BB7A87" w:rsidRDefault="00497F06" w:rsidP="00CD1A6A">
            <w:pPr>
              <w:rPr>
                <w:b w:val="0"/>
                <w:bCs/>
              </w:rPr>
            </w:pPr>
          </w:p>
        </w:tc>
        <w:tc>
          <w:tcPr>
            <w:tcW w:w="1001" w:type="dxa"/>
          </w:tcPr>
          <w:p w14:paraId="05811BA0" w14:textId="77777777" w:rsidR="00497F06" w:rsidRPr="00BB7A87" w:rsidRDefault="00497F06" w:rsidP="00CD1A6A">
            <w:pPr>
              <w:jc w:val="center"/>
              <w:rPr>
                <w:b w:val="0"/>
              </w:rPr>
            </w:pPr>
            <w:r w:rsidRPr="00BB7A87">
              <w:rPr>
                <w:b w:val="0"/>
              </w:rPr>
              <w:t>(0,5đ)</w:t>
            </w:r>
          </w:p>
          <w:p w14:paraId="450D734F" w14:textId="77777777" w:rsidR="00497F06" w:rsidRPr="00BB7A87" w:rsidRDefault="00497F06" w:rsidP="00CD1A6A">
            <w:pPr>
              <w:jc w:val="center"/>
              <w:rPr>
                <w:b w:val="0"/>
              </w:rPr>
            </w:pPr>
          </w:p>
          <w:p w14:paraId="300D81A8" w14:textId="77777777" w:rsidR="00497F06" w:rsidRPr="00BB7A87" w:rsidRDefault="00497F06" w:rsidP="00CD1A6A">
            <w:pPr>
              <w:jc w:val="center"/>
              <w:rPr>
                <w:b w:val="0"/>
                <w:bCs/>
              </w:rPr>
            </w:pPr>
          </w:p>
        </w:tc>
        <w:tc>
          <w:tcPr>
            <w:tcW w:w="986" w:type="dxa"/>
          </w:tcPr>
          <w:p w14:paraId="1133C959" w14:textId="77777777" w:rsidR="00497F06" w:rsidRPr="00BB7A87" w:rsidRDefault="00497F06" w:rsidP="00CD1A6A">
            <w:pPr>
              <w:jc w:val="center"/>
              <w:rPr>
                <w:b w:val="0"/>
                <w:bCs/>
              </w:rPr>
            </w:pPr>
            <w:r w:rsidRPr="00BB7A87">
              <w:rPr>
                <w:b w:val="0"/>
              </w:rPr>
              <w:t>(1,5đ)</w:t>
            </w:r>
          </w:p>
        </w:tc>
        <w:tc>
          <w:tcPr>
            <w:tcW w:w="995" w:type="dxa"/>
          </w:tcPr>
          <w:p w14:paraId="0AC02178" w14:textId="77777777" w:rsidR="00497F06" w:rsidRPr="00BB7A87" w:rsidRDefault="00497F06" w:rsidP="00CD1A6A">
            <w:pPr>
              <w:jc w:val="center"/>
              <w:rPr>
                <w:b w:val="0"/>
                <w:bCs/>
              </w:rPr>
            </w:pPr>
          </w:p>
        </w:tc>
        <w:tc>
          <w:tcPr>
            <w:tcW w:w="1002" w:type="dxa"/>
          </w:tcPr>
          <w:p w14:paraId="07D0ACAC" w14:textId="77777777" w:rsidR="00497F06" w:rsidRPr="00BB7A87" w:rsidRDefault="00497F06" w:rsidP="00CD1A6A">
            <w:pPr>
              <w:jc w:val="center"/>
              <w:rPr>
                <w:b w:val="0"/>
                <w:bCs/>
              </w:rPr>
            </w:pPr>
          </w:p>
        </w:tc>
        <w:tc>
          <w:tcPr>
            <w:tcW w:w="1035" w:type="dxa"/>
          </w:tcPr>
          <w:p w14:paraId="6B7CFF2D" w14:textId="77777777" w:rsidR="00497F06" w:rsidRPr="00BB7A87" w:rsidRDefault="00497F06" w:rsidP="00CD1A6A">
            <w:pPr>
              <w:jc w:val="center"/>
              <w:rPr>
                <w:b w:val="0"/>
                <w:bCs/>
              </w:rPr>
            </w:pPr>
            <w:r w:rsidRPr="00BB7A87">
              <w:rPr>
                <w:b w:val="0"/>
              </w:rPr>
              <w:t>(1,0đ)</w:t>
            </w:r>
          </w:p>
        </w:tc>
        <w:tc>
          <w:tcPr>
            <w:tcW w:w="1088" w:type="dxa"/>
          </w:tcPr>
          <w:p w14:paraId="35564022" w14:textId="77777777" w:rsidR="00497F06" w:rsidRPr="00BB7A87" w:rsidRDefault="00497F06" w:rsidP="00CD1A6A">
            <w:pPr>
              <w:jc w:val="center"/>
              <w:rPr>
                <w:b w:val="0"/>
                <w:bCs/>
              </w:rPr>
            </w:pPr>
            <w:r w:rsidRPr="00BB7A87">
              <w:rPr>
                <w:b w:val="0"/>
              </w:rPr>
              <w:t>(0,5đ)</w:t>
            </w:r>
          </w:p>
        </w:tc>
        <w:tc>
          <w:tcPr>
            <w:tcW w:w="850" w:type="dxa"/>
          </w:tcPr>
          <w:p w14:paraId="48E729A6" w14:textId="77777777" w:rsidR="00497F06" w:rsidRPr="00BB7A87" w:rsidRDefault="00497F06" w:rsidP="00CD1A6A">
            <w:pPr>
              <w:jc w:val="center"/>
              <w:rPr>
                <w:b w:val="0"/>
                <w:bCs/>
              </w:rPr>
            </w:pPr>
          </w:p>
        </w:tc>
      </w:tr>
      <w:tr w:rsidR="00B16E40" w:rsidRPr="00BB7A87" w14:paraId="2CCEAEBD" w14:textId="77777777" w:rsidTr="00684815">
        <w:tc>
          <w:tcPr>
            <w:tcW w:w="1293" w:type="dxa"/>
            <w:vAlign w:val="center"/>
          </w:tcPr>
          <w:p w14:paraId="0F9CFAD0" w14:textId="77777777" w:rsidR="00497F06" w:rsidRPr="00BB7A87" w:rsidRDefault="00497F06" w:rsidP="00CD1A6A">
            <w:pPr>
              <w:jc w:val="center"/>
            </w:pPr>
            <w:r w:rsidRPr="00BB7A87">
              <w:t>Mô hình hóa Toán học</w:t>
            </w:r>
          </w:p>
        </w:tc>
        <w:tc>
          <w:tcPr>
            <w:tcW w:w="1049" w:type="dxa"/>
          </w:tcPr>
          <w:p w14:paraId="144EC772" w14:textId="77777777" w:rsidR="00497F06" w:rsidRPr="00BB7A87" w:rsidRDefault="00497F06" w:rsidP="00CD1A6A">
            <w:pPr>
              <w:jc w:val="center"/>
              <w:rPr>
                <w:b w:val="0"/>
                <w:bCs/>
              </w:rPr>
            </w:pPr>
          </w:p>
        </w:tc>
        <w:tc>
          <w:tcPr>
            <w:tcW w:w="1049" w:type="dxa"/>
          </w:tcPr>
          <w:p w14:paraId="2D4617A3" w14:textId="77777777" w:rsidR="00497F06" w:rsidRPr="00BB7A87" w:rsidRDefault="00497F06" w:rsidP="00CD1A6A">
            <w:pPr>
              <w:jc w:val="center"/>
              <w:rPr>
                <w:b w:val="0"/>
              </w:rPr>
            </w:pPr>
            <w:r w:rsidRPr="00BB7A87">
              <w:rPr>
                <w:b w:val="0"/>
              </w:rPr>
              <w:t>(2,0đ)</w:t>
            </w:r>
          </w:p>
          <w:p w14:paraId="75059D08" w14:textId="77777777" w:rsidR="00497F06" w:rsidRPr="00BB7A87" w:rsidRDefault="00497F06" w:rsidP="00CD1A6A">
            <w:pPr>
              <w:jc w:val="center"/>
              <w:rPr>
                <w:b w:val="0"/>
              </w:rPr>
            </w:pPr>
          </w:p>
          <w:p w14:paraId="73662D6B" w14:textId="77777777" w:rsidR="00497F06" w:rsidRPr="00BB7A87" w:rsidRDefault="00497F06" w:rsidP="00CD1A6A">
            <w:pPr>
              <w:jc w:val="center"/>
              <w:rPr>
                <w:b w:val="0"/>
                <w:bCs/>
              </w:rPr>
            </w:pPr>
          </w:p>
        </w:tc>
        <w:tc>
          <w:tcPr>
            <w:tcW w:w="1001" w:type="dxa"/>
          </w:tcPr>
          <w:p w14:paraId="31E96945" w14:textId="77777777" w:rsidR="00497F06" w:rsidRPr="00BB7A87" w:rsidRDefault="00497F06" w:rsidP="00CD1A6A">
            <w:pPr>
              <w:jc w:val="center"/>
              <w:rPr>
                <w:b w:val="0"/>
                <w:bCs/>
              </w:rPr>
            </w:pPr>
            <w:r w:rsidRPr="00BB7A87">
              <w:rPr>
                <w:b w:val="0"/>
              </w:rPr>
              <w:t>(0,5đ)</w:t>
            </w:r>
          </w:p>
        </w:tc>
        <w:tc>
          <w:tcPr>
            <w:tcW w:w="986" w:type="dxa"/>
          </w:tcPr>
          <w:p w14:paraId="6278383B" w14:textId="77777777" w:rsidR="00497F06" w:rsidRPr="00BB7A87" w:rsidRDefault="00497F06" w:rsidP="00CD1A6A">
            <w:pPr>
              <w:jc w:val="center"/>
              <w:rPr>
                <w:b w:val="0"/>
                <w:bCs/>
              </w:rPr>
            </w:pPr>
          </w:p>
        </w:tc>
        <w:tc>
          <w:tcPr>
            <w:tcW w:w="995" w:type="dxa"/>
          </w:tcPr>
          <w:p w14:paraId="39122A2B" w14:textId="77777777" w:rsidR="00497F06" w:rsidRPr="00BB7A87" w:rsidRDefault="00497F06" w:rsidP="00CD1A6A">
            <w:pPr>
              <w:jc w:val="center"/>
              <w:rPr>
                <w:b w:val="0"/>
                <w:bCs/>
              </w:rPr>
            </w:pPr>
          </w:p>
        </w:tc>
        <w:tc>
          <w:tcPr>
            <w:tcW w:w="1002" w:type="dxa"/>
          </w:tcPr>
          <w:p w14:paraId="08E87B55" w14:textId="77777777" w:rsidR="00497F06" w:rsidRPr="00BB7A87" w:rsidRDefault="00497F06" w:rsidP="00CD1A6A">
            <w:pPr>
              <w:jc w:val="center"/>
              <w:rPr>
                <w:b w:val="0"/>
                <w:bCs/>
              </w:rPr>
            </w:pPr>
          </w:p>
        </w:tc>
        <w:tc>
          <w:tcPr>
            <w:tcW w:w="1035" w:type="dxa"/>
          </w:tcPr>
          <w:p w14:paraId="59D018D6" w14:textId="77777777" w:rsidR="00497F06" w:rsidRPr="00BB7A87" w:rsidRDefault="00497F06" w:rsidP="00CD1A6A">
            <w:pPr>
              <w:jc w:val="center"/>
              <w:rPr>
                <w:b w:val="0"/>
                <w:bCs/>
              </w:rPr>
            </w:pPr>
          </w:p>
        </w:tc>
        <w:tc>
          <w:tcPr>
            <w:tcW w:w="1088" w:type="dxa"/>
          </w:tcPr>
          <w:p w14:paraId="1F55A2FC" w14:textId="77777777" w:rsidR="00497F06" w:rsidRPr="00BB7A87" w:rsidRDefault="00497F06" w:rsidP="00CD1A6A">
            <w:pPr>
              <w:jc w:val="center"/>
              <w:rPr>
                <w:b w:val="0"/>
                <w:bCs/>
              </w:rPr>
            </w:pPr>
          </w:p>
        </w:tc>
        <w:tc>
          <w:tcPr>
            <w:tcW w:w="850" w:type="dxa"/>
          </w:tcPr>
          <w:p w14:paraId="335A5DD6" w14:textId="77777777" w:rsidR="00497F06" w:rsidRPr="00BB7A87" w:rsidRDefault="00497F06" w:rsidP="00CD1A6A">
            <w:pPr>
              <w:jc w:val="center"/>
              <w:rPr>
                <w:b w:val="0"/>
                <w:bCs/>
              </w:rPr>
            </w:pPr>
          </w:p>
        </w:tc>
      </w:tr>
      <w:tr w:rsidR="00B16E40" w:rsidRPr="00BB7A87" w14:paraId="4984DEFC" w14:textId="77777777" w:rsidTr="00684815">
        <w:tc>
          <w:tcPr>
            <w:tcW w:w="1293" w:type="dxa"/>
          </w:tcPr>
          <w:p w14:paraId="101253E4" w14:textId="77777777" w:rsidR="00497F06" w:rsidRPr="00BB7A87" w:rsidRDefault="00497F06" w:rsidP="00CD1A6A">
            <w:pPr>
              <w:jc w:val="center"/>
            </w:pPr>
            <w:r w:rsidRPr="00BB7A87">
              <w:t xml:space="preserve">Tổng: </w:t>
            </w:r>
          </w:p>
          <w:p w14:paraId="2A291364" w14:textId="77777777" w:rsidR="00497F06" w:rsidRPr="00BB7A87" w:rsidRDefault="00497F06" w:rsidP="00CD1A6A">
            <w:pPr>
              <w:jc w:val="center"/>
            </w:pPr>
            <w:r w:rsidRPr="00BB7A87">
              <w:t>10,0 điểm</w:t>
            </w:r>
          </w:p>
        </w:tc>
        <w:tc>
          <w:tcPr>
            <w:tcW w:w="1049" w:type="dxa"/>
          </w:tcPr>
          <w:p w14:paraId="04D9BAB3" w14:textId="77777777" w:rsidR="00497F06" w:rsidRPr="00BB7A87" w:rsidRDefault="00497F06" w:rsidP="00CD1A6A">
            <w:pPr>
              <w:jc w:val="center"/>
              <w:rPr>
                <w:b w:val="0"/>
                <w:bCs/>
              </w:rPr>
            </w:pPr>
            <w:r w:rsidRPr="00BB7A87">
              <w:rPr>
                <w:bCs/>
              </w:rPr>
              <w:t>0,25 điểm</w:t>
            </w:r>
          </w:p>
        </w:tc>
        <w:tc>
          <w:tcPr>
            <w:tcW w:w="1049" w:type="dxa"/>
          </w:tcPr>
          <w:p w14:paraId="2FDC1090" w14:textId="77777777" w:rsidR="00497F06" w:rsidRPr="00BB7A87" w:rsidRDefault="00497F06" w:rsidP="00CD1A6A">
            <w:pPr>
              <w:jc w:val="center"/>
              <w:rPr>
                <w:b w:val="0"/>
                <w:bCs/>
              </w:rPr>
            </w:pPr>
            <w:r w:rsidRPr="00BB7A87">
              <w:rPr>
                <w:bCs/>
              </w:rPr>
              <w:t>2,75 điểm</w:t>
            </w:r>
          </w:p>
        </w:tc>
        <w:tc>
          <w:tcPr>
            <w:tcW w:w="1001" w:type="dxa"/>
          </w:tcPr>
          <w:p w14:paraId="28742C3F" w14:textId="77777777" w:rsidR="00497F06" w:rsidRPr="00BB7A87" w:rsidRDefault="00497F06" w:rsidP="00CD1A6A">
            <w:pPr>
              <w:jc w:val="center"/>
              <w:rPr>
                <w:b w:val="0"/>
                <w:bCs/>
              </w:rPr>
            </w:pPr>
            <w:r w:rsidRPr="00BB7A87">
              <w:rPr>
                <w:bCs/>
              </w:rPr>
              <w:t>1,5 điểm</w:t>
            </w:r>
          </w:p>
        </w:tc>
        <w:tc>
          <w:tcPr>
            <w:tcW w:w="986" w:type="dxa"/>
          </w:tcPr>
          <w:p w14:paraId="0BD22EC1" w14:textId="77777777" w:rsidR="00497F06" w:rsidRPr="00BB7A87" w:rsidRDefault="00497F06" w:rsidP="00CD1A6A">
            <w:pPr>
              <w:jc w:val="center"/>
              <w:rPr>
                <w:b w:val="0"/>
                <w:bCs/>
              </w:rPr>
            </w:pPr>
            <w:r w:rsidRPr="00BB7A87">
              <w:rPr>
                <w:bCs/>
              </w:rPr>
              <w:t>1,5 điểm</w:t>
            </w:r>
          </w:p>
        </w:tc>
        <w:tc>
          <w:tcPr>
            <w:tcW w:w="995" w:type="dxa"/>
          </w:tcPr>
          <w:p w14:paraId="195848A1" w14:textId="77777777" w:rsidR="00497F06" w:rsidRPr="00BB7A87" w:rsidRDefault="00497F06" w:rsidP="00CD1A6A">
            <w:pPr>
              <w:jc w:val="center"/>
              <w:rPr>
                <w:b w:val="0"/>
                <w:bCs/>
              </w:rPr>
            </w:pPr>
            <w:r w:rsidRPr="00BB7A87">
              <w:rPr>
                <w:bCs/>
              </w:rPr>
              <w:t>1,0 điểm</w:t>
            </w:r>
          </w:p>
        </w:tc>
        <w:tc>
          <w:tcPr>
            <w:tcW w:w="1002" w:type="dxa"/>
          </w:tcPr>
          <w:p w14:paraId="6AE709E6" w14:textId="77777777" w:rsidR="00497F06" w:rsidRPr="00BB7A87" w:rsidRDefault="00497F06" w:rsidP="00CD1A6A">
            <w:pPr>
              <w:jc w:val="center"/>
              <w:rPr>
                <w:b w:val="0"/>
                <w:bCs/>
              </w:rPr>
            </w:pPr>
            <w:r w:rsidRPr="00BB7A87">
              <w:rPr>
                <w:bCs/>
              </w:rPr>
              <w:t>1,5 điểm</w:t>
            </w:r>
          </w:p>
        </w:tc>
        <w:tc>
          <w:tcPr>
            <w:tcW w:w="1035" w:type="dxa"/>
          </w:tcPr>
          <w:p w14:paraId="3C73AC59" w14:textId="77777777" w:rsidR="00497F06" w:rsidRPr="00BB7A87" w:rsidRDefault="00497F06" w:rsidP="00CD1A6A">
            <w:pPr>
              <w:jc w:val="center"/>
              <w:rPr>
                <w:b w:val="0"/>
                <w:bCs/>
              </w:rPr>
            </w:pPr>
            <w:r w:rsidRPr="00BB7A87">
              <w:rPr>
                <w:bCs/>
              </w:rPr>
              <w:t>1,0 điểm</w:t>
            </w:r>
          </w:p>
        </w:tc>
        <w:tc>
          <w:tcPr>
            <w:tcW w:w="1088" w:type="dxa"/>
          </w:tcPr>
          <w:p w14:paraId="3CA7AC79" w14:textId="77777777" w:rsidR="00497F06" w:rsidRPr="00BB7A87" w:rsidRDefault="00497F06" w:rsidP="00CD1A6A">
            <w:pPr>
              <w:jc w:val="center"/>
              <w:rPr>
                <w:b w:val="0"/>
                <w:bCs/>
              </w:rPr>
            </w:pPr>
            <w:r w:rsidRPr="00BB7A87">
              <w:rPr>
                <w:bCs/>
              </w:rPr>
              <w:t>0,5 điểm</w:t>
            </w:r>
          </w:p>
        </w:tc>
        <w:tc>
          <w:tcPr>
            <w:tcW w:w="850" w:type="dxa"/>
          </w:tcPr>
          <w:p w14:paraId="07906525" w14:textId="77777777" w:rsidR="00497F06" w:rsidRPr="00BB7A87" w:rsidRDefault="00497F06" w:rsidP="00CD1A6A">
            <w:pPr>
              <w:jc w:val="center"/>
              <w:rPr>
                <w:b w:val="0"/>
                <w:bCs/>
              </w:rPr>
            </w:pPr>
            <w:r w:rsidRPr="00BB7A87">
              <w:rPr>
                <w:bCs/>
              </w:rPr>
              <w:t>0 điểm</w:t>
            </w:r>
          </w:p>
        </w:tc>
      </w:tr>
    </w:tbl>
    <w:p w14:paraId="082849EC" w14:textId="77777777" w:rsidR="00584C55" w:rsidRPr="00BB7A87" w:rsidRDefault="00584C55" w:rsidP="00ED7CFC">
      <w:pPr>
        <w:widowControl w:val="0"/>
        <w:shd w:val="clear" w:color="auto" w:fill="FFFFFF"/>
        <w:spacing w:before="120" w:after="120" w:line="344" w:lineRule="atLeast"/>
        <w:ind w:firstLine="567"/>
        <w:jc w:val="both"/>
        <w:rPr>
          <w:b w:val="0"/>
          <w:lang w:val="nl-NL"/>
        </w:rPr>
      </w:pPr>
    </w:p>
    <w:p w14:paraId="416BA8AC" w14:textId="50B26BEF" w:rsidR="00303CE3" w:rsidRPr="00BB7A87" w:rsidRDefault="00303CE3" w:rsidP="00ED7CFC">
      <w:pPr>
        <w:widowControl w:val="0"/>
        <w:shd w:val="clear" w:color="auto" w:fill="FFFFFF"/>
        <w:spacing w:before="120" w:after="120" w:line="344" w:lineRule="atLeast"/>
        <w:ind w:firstLine="567"/>
        <w:jc w:val="both"/>
        <w:rPr>
          <w:b w:val="0"/>
          <w:lang w:val="nl-NL"/>
        </w:rPr>
      </w:pPr>
      <w:r w:rsidRPr="00BB7A87">
        <w:rPr>
          <w:b w:val="0"/>
          <w:lang w:val="nl-NL"/>
        </w:rPr>
        <w:t>- Đối với thi học sinh giỏi và chuyên gồm các chủ đề:</w:t>
      </w:r>
      <w:r w:rsidR="00BE7719" w:rsidRPr="00BB7A87">
        <w:rPr>
          <w:b w:val="0"/>
          <w:lang w:val="nl-NL"/>
        </w:rPr>
        <w:t xml:space="preserve"> Phương tr</w:t>
      </w:r>
      <w:r w:rsidR="00BB7A87" w:rsidRPr="00BB7A87">
        <w:rPr>
          <w:b w:val="0"/>
          <w:lang w:val="nl-NL"/>
        </w:rPr>
        <w:t>ì</w:t>
      </w:r>
      <w:r w:rsidR="00BE7719" w:rsidRPr="00BB7A87">
        <w:rPr>
          <w:b w:val="0"/>
          <w:lang w:val="nl-NL"/>
        </w:rPr>
        <w:t xml:space="preserve">nh, hệ phương trình; Biến đổi đại số, đa thức; Quan hệ chia hết, tính chất số học; </w:t>
      </w:r>
      <w:r w:rsidR="00BE7719" w:rsidRPr="00BB7A87">
        <w:rPr>
          <w:b w:val="0"/>
          <w:lang w:val="en-US"/>
        </w:rPr>
        <w:t xml:space="preserve">Phương trình nghiệm nguyên; Bất đẳng thức, cực trị; </w:t>
      </w:r>
      <w:r w:rsidR="00BE7719" w:rsidRPr="00BB7A87">
        <w:rPr>
          <w:b w:val="0"/>
          <w:bCs/>
          <w:lang w:val="en-US"/>
        </w:rPr>
        <w:t xml:space="preserve">Hình học phẳng; </w:t>
      </w:r>
      <w:r w:rsidR="00BE7719" w:rsidRPr="00BB7A87">
        <w:rPr>
          <w:b w:val="0"/>
          <w:lang w:val="en-US"/>
        </w:rPr>
        <w:t>Tổ hợp.</w:t>
      </w:r>
    </w:p>
    <w:p w14:paraId="71593EFF" w14:textId="1E87101C" w:rsidR="00ED7CFC" w:rsidRPr="00BB7A87" w:rsidRDefault="00ED7CFC" w:rsidP="00ED7CFC">
      <w:pPr>
        <w:widowControl w:val="0"/>
        <w:spacing w:before="120" w:after="120" w:line="344" w:lineRule="atLeast"/>
        <w:ind w:firstLine="567"/>
        <w:jc w:val="both"/>
        <w:rPr>
          <w:b w:val="0"/>
          <w:lang w:val="nl-NL"/>
        </w:rPr>
      </w:pPr>
      <w:r w:rsidRPr="00BB7A87">
        <w:rPr>
          <w:b w:val="0"/>
          <w:lang w:val="nl-NL"/>
        </w:rPr>
        <w:t>- Kì thi HSG môn Toán</w:t>
      </w:r>
      <w:r w:rsidR="009051A8" w:rsidRPr="00BB7A87">
        <w:rPr>
          <w:b w:val="0"/>
          <w:lang w:val="nl-NL"/>
        </w:rPr>
        <w:t xml:space="preserve"> </w:t>
      </w:r>
      <w:r w:rsidRPr="00BB7A87">
        <w:rPr>
          <w:b w:val="0"/>
          <w:lang w:val="nl-NL"/>
        </w:rPr>
        <w:t xml:space="preserve">lớp 9 </w:t>
      </w:r>
      <w:r w:rsidR="00411DD9" w:rsidRPr="00BB7A87">
        <w:rPr>
          <w:b w:val="0"/>
          <w:lang w:val="nl-NL"/>
        </w:rPr>
        <w:t>(dự kiến tháng 1/2025</w:t>
      </w:r>
      <w:r w:rsidRPr="00BB7A87">
        <w:rPr>
          <w:b w:val="0"/>
          <w:lang w:val="nl-NL"/>
        </w:rPr>
        <w:t>)</w:t>
      </w:r>
      <w:r w:rsidR="00631A6A" w:rsidRPr="00BB7A87">
        <w:rPr>
          <w:b w:val="0"/>
          <w:lang w:val="nl-NL"/>
        </w:rPr>
        <w:t xml:space="preserve">, </w:t>
      </w:r>
      <w:r w:rsidRPr="00BB7A87">
        <w:rPr>
          <w:b w:val="0"/>
          <w:lang w:val="nl-NL"/>
        </w:rPr>
        <w:t>các cuộc thi quốc gia và quốc tế</w:t>
      </w:r>
      <w:r w:rsidR="00515709" w:rsidRPr="00BB7A87">
        <w:rPr>
          <w:b w:val="0"/>
          <w:lang w:val="nl-NL"/>
        </w:rPr>
        <w:t xml:space="preserve"> được Sở phê duyệt</w:t>
      </w:r>
      <w:r w:rsidRPr="00BB7A87">
        <w:rPr>
          <w:b w:val="0"/>
          <w:lang w:val="nl-NL"/>
        </w:rPr>
        <w:t xml:space="preserve">. </w:t>
      </w:r>
    </w:p>
    <w:p w14:paraId="07D2B640" w14:textId="62F66AA1" w:rsidR="00C86478" w:rsidRPr="00BB7A87" w:rsidRDefault="00C86478" w:rsidP="00826C95">
      <w:pPr>
        <w:spacing w:before="120" w:after="120"/>
        <w:ind w:right="4" w:firstLine="567"/>
        <w:jc w:val="both"/>
        <w:rPr>
          <w:b w:val="0"/>
          <w:bCs/>
          <w:i/>
          <w:lang w:val="da-DK"/>
        </w:rPr>
      </w:pPr>
      <w:r w:rsidRPr="00BB7A87">
        <w:rPr>
          <w:b w:val="0"/>
          <w:bCs/>
          <w:i/>
          <w:lang w:val="da-DK"/>
        </w:rPr>
        <w:t xml:space="preserve">Trên đây là một số định hướng chính. </w:t>
      </w:r>
      <w:r w:rsidR="00E73159">
        <w:rPr>
          <w:b w:val="0"/>
          <w:bCs/>
          <w:i/>
          <w:lang w:val="da-DK"/>
        </w:rPr>
        <w:t>Đồng chí</w:t>
      </w:r>
      <w:r w:rsidRPr="00BB7A87">
        <w:rPr>
          <w:b w:val="0"/>
          <w:bCs/>
          <w:i/>
          <w:lang w:val="da-DK"/>
        </w:rPr>
        <w:t xml:space="preserve"> chuyên viên bộ môn </w:t>
      </w:r>
      <w:r w:rsidR="00427863" w:rsidRPr="00BB7A87">
        <w:rPr>
          <w:b w:val="0"/>
          <w:bCs/>
          <w:i/>
          <w:lang w:val="da-DK"/>
        </w:rPr>
        <w:t xml:space="preserve">Toán các phòng GDĐT </w:t>
      </w:r>
      <w:r w:rsidRPr="00BB7A87">
        <w:rPr>
          <w:b w:val="0"/>
          <w:bCs/>
          <w:i/>
          <w:lang w:val="da-DK"/>
        </w:rPr>
        <w:t xml:space="preserve">căn cứ vào các văn bản quy định và thực tế xây dựng kế </w:t>
      </w:r>
      <w:r w:rsidRPr="00BB7A87">
        <w:rPr>
          <w:b w:val="0"/>
          <w:bCs/>
          <w:i/>
          <w:spacing w:val="-8"/>
          <w:lang w:val="da-DK"/>
        </w:rPr>
        <w:t>hoạch</w:t>
      </w:r>
      <w:r w:rsidR="00213714" w:rsidRPr="00BB7A87">
        <w:rPr>
          <w:b w:val="0"/>
          <w:bCs/>
          <w:i/>
          <w:spacing w:val="-8"/>
          <w:lang w:val="da-DK"/>
        </w:rPr>
        <w:t xml:space="preserve"> công tác chuyên môn năm học 202</w:t>
      </w:r>
      <w:r w:rsidR="006E796E" w:rsidRPr="00BB7A87">
        <w:rPr>
          <w:b w:val="0"/>
          <w:bCs/>
          <w:i/>
          <w:spacing w:val="-8"/>
          <w:lang w:val="da-DK"/>
        </w:rPr>
        <w:t>4</w:t>
      </w:r>
      <w:r w:rsidR="00BB7A87">
        <w:rPr>
          <w:b w:val="0"/>
          <w:bCs/>
          <w:i/>
          <w:spacing w:val="-8"/>
          <w:lang w:val="da-DK"/>
        </w:rPr>
        <w:t xml:space="preserve"> </w:t>
      </w:r>
      <w:r w:rsidRPr="00BB7A87">
        <w:rPr>
          <w:b w:val="0"/>
          <w:bCs/>
          <w:i/>
          <w:spacing w:val="-8"/>
          <w:lang w:val="da-DK"/>
        </w:rPr>
        <w:t>-</w:t>
      </w:r>
      <w:r w:rsidR="00BB7A87">
        <w:rPr>
          <w:b w:val="0"/>
          <w:bCs/>
          <w:i/>
          <w:spacing w:val="-8"/>
          <w:lang w:val="da-DK"/>
        </w:rPr>
        <w:t xml:space="preserve"> </w:t>
      </w:r>
      <w:r w:rsidRPr="00BB7A87">
        <w:rPr>
          <w:b w:val="0"/>
          <w:bCs/>
          <w:i/>
          <w:spacing w:val="-8"/>
          <w:lang w:val="da-DK"/>
        </w:rPr>
        <w:t>20</w:t>
      </w:r>
      <w:r w:rsidR="00544061" w:rsidRPr="00BB7A87">
        <w:rPr>
          <w:b w:val="0"/>
          <w:bCs/>
          <w:i/>
          <w:spacing w:val="-8"/>
          <w:lang w:val="da-DK"/>
        </w:rPr>
        <w:t>2</w:t>
      </w:r>
      <w:r w:rsidR="006E796E" w:rsidRPr="00BB7A87">
        <w:rPr>
          <w:b w:val="0"/>
          <w:bCs/>
          <w:i/>
          <w:spacing w:val="-8"/>
          <w:lang w:val="da-DK"/>
        </w:rPr>
        <w:t>5</w:t>
      </w:r>
      <w:r w:rsidR="00B05534">
        <w:rPr>
          <w:b w:val="0"/>
          <w:bCs/>
          <w:i/>
          <w:spacing w:val="-8"/>
          <w:lang w:val="da-DK"/>
        </w:rPr>
        <w:t xml:space="preserve"> </w:t>
      </w:r>
      <w:bookmarkStart w:id="0" w:name="_GoBack"/>
      <w:bookmarkEnd w:id="0"/>
      <w:r w:rsidRPr="00BB7A87">
        <w:rPr>
          <w:b w:val="0"/>
          <w:bCs/>
          <w:i/>
          <w:spacing w:val="-8"/>
          <w:lang w:val="da-DK"/>
        </w:rPr>
        <w:t xml:space="preserve"> p</w:t>
      </w:r>
      <w:r w:rsidR="00E73159">
        <w:rPr>
          <w:b w:val="0"/>
          <w:bCs/>
          <w:i/>
          <w:spacing w:val="-8"/>
          <w:lang w:val="da-DK"/>
        </w:rPr>
        <w:t>hù hợp với điều kiện của đơn vị</w:t>
      </w:r>
      <w:r w:rsidRPr="00BB7A87">
        <w:rPr>
          <w:b w:val="0"/>
          <w:bCs/>
          <w:i/>
          <w:spacing w:val="-8"/>
          <w:lang w:val="da-DK"/>
        </w:rPr>
        <w:t>.</w:t>
      </w:r>
      <w:r w:rsidRPr="00BB7A87">
        <w:rPr>
          <w:b w:val="0"/>
          <w:bCs/>
          <w:i/>
          <w:lang w:val="da-DK"/>
        </w:rPr>
        <w:t xml:space="preserve"> </w:t>
      </w:r>
    </w:p>
    <w:p w14:paraId="39A6613C" w14:textId="77777777" w:rsidR="00384F36" w:rsidRPr="006E796E" w:rsidRDefault="00384F36" w:rsidP="00544061">
      <w:pPr>
        <w:spacing w:before="120" w:after="120"/>
        <w:jc w:val="center"/>
        <w:rPr>
          <w:b w:val="0"/>
          <w:sz w:val="26"/>
          <w:szCs w:val="26"/>
          <w:lang w:val="nl-NL"/>
        </w:rPr>
      </w:pPr>
      <w:r w:rsidRPr="006E796E">
        <w:rPr>
          <w:b w:val="0"/>
          <w:sz w:val="26"/>
          <w:szCs w:val="26"/>
          <w:lang w:val="nl-NL"/>
        </w:rPr>
        <w:t>-----------------------------------------</w:t>
      </w:r>
    </w:p>
    <w:p w14:paraId="3EED062D" w14:textId="77777777" w:rsidR="001E70E6" w:rsidRPr="00160614" w:rsidRDefault="00384F36" w:rsidP="000102BC">
      <w:pPr>
        <w:spacing w:before="120" w:after="120"/>
        <w:jc w:val="both"/>
        <w:rPr>
          <w:b w:val="0"/>
          <w:color w:val="00B050"/>
          <w:sz w:val="26"/>
          <w:szCs w:val="26"/>
          <w:lang w:val="nl-NL"/>
        </w:rPr>
      </w:pPr>
      <w:r w:rsidRPr="00160614">
        <w:rPr>
          <w:b w:val="0"/>
          <w:color w:val="00B050"/>
          <w:sz w:val="26"/>
          <w:szCs w:val="26"/>
          <w:lang w:val="nl-NL"/>
        </w:rPr>
        <w:t xml:space="preserve"> </w:t>
      </w:r>
    </w:p>
    <w:sectPr w:rsidR="001E70E6" w:rsidRPr="00160614" w:rsidSect="00D4486F">
      <w:headerReference w:type="default" r:id="rId10"/>
      <w:footerReference w:type="even" r:id="rId11"/>
      <w:footerReference w:type="default" r:id="rId12"/>
      <w:pgSz w:w="11907" w:h="16840" w:code="9"/>
      <w:pgMar w:top="1077" w:right="1152" w:bottom="1077" w:left="1701" w:header="0" w:footer="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9ECAD" w14:textId="77777777" w:rsidR="004962DF" w:rsidRDefault="004962DF">
      <w:r>
        <w:separator/>
      </w:r>
    </w:p>
  </w:endnote>
  <w:endnote w:type="continuationSeparator" w:id="0">
    <w:p w14:paraId="50925E29" w14:textId="77777777" w:rsidR="004962DF" w:rsidRDefault="0049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0904F" w14:textId="77777777" w:rsidR="00B00735" w:rsidRDefault="00B00735" w:rsidP="00384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BCF0F4" w14:textId="77777777" w:rsidR="00B00735" w:rsidRDefault="00B00735" w:rsidP="00384F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FD1F7" w14:textId="77777777" w:rsidR="00D4486F" w:rsidRDefault="00D4486F">
    <w:pPr>
      <w:pStyle w:val="Footer"/>
      <w:jc w:val="center"/>
    </w:pPr>
  </w:p>
  <w:p w14:paraId="3F06E41F" w14:textId="77777777" w:rsidR="00B00735" w:rsidRPr="009F5283" w:rsidRDefault="00B00735" w:rsidP="00384F36">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FB62E" w14:textId="77777777" w:rsidR="004962DF" w:rsidRDefault="004962DF">
      <w:r>
        <w:separator/>
      </w:r>
    </w:p>
  </w:footnote>
  <w:footnote w:type="continuationSeparator" w:id="0">
    <w:p w14:paraId="14D56285" w14:textId="77777777" w:rsidR="004962DF" w:rsidRDefault="00496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887771"/>
      <w:docPartObj>
        <w:docPartGallery w:val="Page Numbers (Top of Page)"/>
        <w:docPartUnique/>
      </w:docPartObj>
    </w:sdtPr>
    <w:sdtEndPr>
      <w:rPr>
        <w:b w:val="0"/>
        <w:noProof/>
      </w:rPr>
    </w:sdtEndPr>
    <w:sdtContent>
      <w:p w14:paraId="58EFB740" w14:textId="77777777" w:rsidR="00D4486F" w:rsidRDefault="00D4486F">
        <w:pPr>
          <w:pStyle w:val="Header"/>
          <w:jc w:val="center"/>
        </w:pPr>
      </w:p>
      <w:p w14:paraId="7F55E651" w14:textId="77777777" w:rsidR="00946202" w:rsidRDefault="00946202">
        <w:pPr>
          <w:pStyle w:val="Header"/>
          <w:jc w:val="center"/>
        </w:pPr>
      </w:p>
      <w:p w14:paraId="1D71A9FD" w14:textId="36EFB26C" w:rsidR="00D4486F" w:rsidRPr="00D4486F" w:rsidRDefault="00D4486F">
        <w:pPr>
          <w:pStyle w:val="Header"/>
          <w:jc w:val="center"/>
          <w:rPr>
            <w:b w:val="0"/>
          </w:rPr>
        </w:pPr>
        <w:r w:rsidRPr="00D4486F">
          <w:rPr>
            <w:b w:val="0"/>
          </w:rPr>
          <w:fldChar w:fldCharType="begin"/>
        </w:r>
        <w:r w:rsidRPr="00D4486F">
          <w:rPr>
            <w:b w:val="0"/>
          </w:rPr>
          <w:instrText xml:space="preserve"> PAGE   \* MERGEFORMAT </w:instrText>
        </w:r>
        <w:r w:rsidRPr="00D4486F">
          <w:rPr>
            <w:b w:val="0"/>
          </w:rPr>
          <w:fldChar w:fldCharType="separate"/>
        </w:r>
        <w:r w:rsidR="00B05534">
          <w:rPr>
            <w:b w:val="0"/>
            <w:noProof/>
          </w:rPr>
          <w:t>7</w:t>
        </w:r>
        <w:r w:rsidRPr="00D4486F">
          <w:rPr>
            <w:b w:val="0"/>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0D5"/>
    <w:multiLevelType w:val="hybridMultilevel"/>
    <w:tmpl w:val="2A820BF2"/>
    <w:lvl w:ilvl="0" w:tplc="3C6ED8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60B96"/>
    <w:multiLevelType w:val="hybridMultilevel"/>
    <w:tmpl w:val="A2067356"/>
    <w:lvl w:ilvl="0" w:tplc="035ACF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4E1A1B"/>
    <w:multiLevelType w:val="hybridMultilevel"/>
    <w:tmpl w:val="5E1E163E"/>
    <w:lvl w:ilvl="0" w:tplc="8900311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B731F"/>
    <w:multiLevelType w:val="hybridMultilevel"/>
    <w:tmpl w:val="8C866B96"/>
    <w:lvl w:ilvl="0" w:tplc="DE8419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C3BAA"/>
    <w:multiLevelType w:val="hybridMultilevel"/>
    <w:tmpl w:val="50403CD2"/>
    <w:lvl w:ilvl="0" w:tplc="1AE629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154E99"/>
    <w:multiLevelType w:val="hybridMultilevel"/>
    <w:tmpl w:val="A99A0836"/>
    <w:lvl w:ilvl="0" w:tplc="9A482D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B4452"/>
    <w:multiLevelType w:val="hybridMultilevel"/>
    <w:tmpl w:val="438EF372"/>
    <w:lvl w:ilvl="0" w:tplc="B458075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36"/>
    <w:rsid w:val="00003AF5"/>
    <w:rsid w:val="00007103"/>
    <w:rsid w:val="000102BC"/>
    <w:rsid w:val="00011FDE"/>
    <w:rsid w:val="00012E7B"/>
    <w:rsid w:val="000140EE"/>
    <w:rsid w:val="000163DA"/>
    <w:rsid w:val="000205B1"/>
    <w:rsid w:val="00021EC6"/>
    <w:rsid w:val="00027B00"/>
    <w:rsid w:val="0003061F"/>
    <w:rsid w:val="0003196F"/>
    <w:rsid w:val="00054F4D"/>
    <w:rsid w:val="00060C60"/>
    <w:rsid w:val="00067430"/>
    <w:rsid w:val="0007012E"/>
    <w:rsid w:val="000706DF"/>
    <w:rsid w:val="00086B5B"/>
    <w:rsid w:val="00094ABE"/>
    <w:rsid w:val="0009632D"/>
    <w:rsid w:val="00097613"/>
    <w:rsid w:val="000A769C"/>
    <w:rsid w:val="000B06C1"/>
    <w:rsid w:val="000C2E67"/>
    <w:rsid w:val="000C35D6"/>
    <w:rsid w:val="000C530F"/>
    <w:rsid w:val="000D3FB3"/>
    <w:rsid w:val="0011029F"/>
    <w:rsid w:val="00116A8D"/>
    <w:rsid w:val="00124491"/>
    <w:rsid w:val="00141723"/>
    <w:rsid w:val="00141892"/>
    <w:rsid w:val="00142F8B"/>
    <w:rsid w:val="001451DB"/>
    <w:rsid w:val="001452E9"/>
    <w:rsid w:val="001565D3"/>
    <w:rsid w:val="00157533"/>
    <w:rsid w:val="00160614"/>
    <w:rsid w:val="00160F0C"/>
    <w:rsid w:val="00167842"/>
    <w:rsid w:val="0017540A"/>
    <w:rsid w:val="001873D6"/>
    <w:rsid w:val="0019127C"/>
    <w:rsid w:val="00192369"/>
    <w:rsid w:val="001C1E10"/>
    <w:rsid w:val="001D0994"/>
    <w:rsid w:val="001D22CC"/>
    <w:rsid w:val="001E0040"/>
    <w:rsid w:val="001E16CA"/>
    <w:rsid w:val="001E70E6"/>
    <w:rsid w:val="001F0E7D"/>
    <w:rsid w:val="001F0EB6"/>
    <w:rsid w:val="001F36DD"/>
    <w:rsid w:val="00213714"/>
    <w:rsid w:val="0021379D"/>
    <w:rsid w:val="00216A99"/>
    <w:rsid w:val="002245FC"/>
    <w:rsid w:val="00226747"/>
    <w:rsid w:val="00245BEC"/>
    <w:rsid w:val="002469FB"/>
    <w:rsid w:val="00252BAE"/>
    <w:rsid w:val="00252BD5"/>
    <w:rsid w:val="00253786"/>
    <w:rsid w:val="00254F25"/>
    <w:rsid w:val="00270404"/>
    <w:rsid w:val="002819E6"/>
    <w:rsid w:val="00281CF3"/>
    <w:rsid w:val="0028653D"/>
    <w:rsid w:val="00291272"/>
    <w:rsid w:val="00291668"/>
    <w:rsid w:val="00293A35"/>
    <w:rsid w:val="002A5D83"/>
    <w:rsid w:val="002A6FFA"/>
    <w:rsid w:val="002A73F8"/>
    <w:rsid w:val="002C1182"/>
    <w:rsid w:val="002C234F"/>
    <w:rsid w:val="002C2CF2"/>
    <w:rsid w:val="002D3C39"/>
    <w:rsid w:val="002E0E78"/>
    <w:rsid w:val="002E3272"/>
    <w:rsid w:val="002E4DE9"/>
    <w:rsid w:val="00302E67"/>
    <w:rsid w:val="00303CE3"/>
    <w:rsid w:val="00306D11"/>
    <w:rsid w:val="00312698"/>
    <w:rsid w:val="00321501"/>
    <w:rsid w:val="00321F2F"/>
    <w:rsid w:val="003258B1"/>
    <w:rsid w:val="00347F0C"/>
    <w:rsid w:val="00352D2E"/>
    <w:rsid w:val="00353D95"/>
    <w:rsid w:val="003556D8"/>
    <w:rsid w:val="003642AC"/>
    <w:rsid w:val="003653DB"/>
    <w:rsid w:val="00371A8F"/>
    <w:rsid w:val="00380A06"/>
    <w:rsid w:val="003832C3"/>
    <w:rsid w:val="0038358D"/>
    <w:rsid w:val="00384F36"/>
    <w:rsid w:val="00391687"/>
    <w:rsid w:val="00392DE7"/>
    <w:rsid w:val="0039320B"/>
    <w:rsid w:val="003A063E"/>
    <w:rsid w:val="003A4705"/>
    <w:rsid w:val="003A4AAD"/>
    <w:rsid w:val="003A7BF6"/>
    <w:rsid w:val="003B23A6"/>
    <w:rsid w:val="003B5B2F"/>
    <w:rsid w:val="003C1379"/>
    <w:rsid w:val="003D5260"/>
    <w:rsid w:val="003D6F0A"/>
    <w:rsid w:val="003E2856"/>
    <w:rsid w:val="003E4723"/>
    <w:rsid w:val="003E48BC"/>
    <w:rsid w:val="003E535B"/>
    <w:rsid w:val="003F48C1"/>
    <w:rsid w:val="00401416"/>
    <w:rsid w:val="0040186C"/>
    <w:rsid w:val="004036FE"/>
    <w:rsid w:val="00411DD9"/>
    <w:rsid w:val="00426C99"/>
    <w:rsid w:val="00427863"/>
    <w:rsid w:val="00430B50"/>
    <w:rsid w:val="004321A5"/>
    <w:rsid w:val="00441B45"/>
    <w:rsid w:val="0044218B"/>
    <w:rsid w:val="00443BEA"/>
    <w:rsid w:val="00445A69"/>
    <w:rsid w:val="00452FDC"/>
    <w:rsid w:val="00457C58"/>
    <w:rsid w:val="004608A9"/>
    <w:rsid w:val="004611B1"/>
    <w:rsid w:val="00462612"/>
    <w:rsid w:val="004650F6"/>
    <w:rsid w:val="0046535D"/>
    <w:rsid w:val="00473BF7"/>
    <w:rsid w:val="00483230"/>
    <w:rsid w:val="00490D77"/>
    <w:rsid w:val="00492DEC"/>
    <w:rsid w:val="00492F08"/>
    <w:rsid w:val="00494AC5"/>
    <w:rsid w:val="004962DF"/>
    <w:rsid w:val="00497F06"/>
    <w:rsid w:val="004A2096"/>
    <w:rsid w:val="004A4A1B"/>
    <w:rsid w:val="004B4FFB"/>
    <w:rsid w:val="004B596A"/>
    <w:rsid w:val="004D3033"/>
    <w:rsid w:val="004D3AFC"/>
    <w:rsid w:val="004D7BAE"/>
    <w:rsid w:val="004E07A8"/>
    <w:rsid w:val="004E234C"/>
    <w:rsid w:val="004E3813"/>
    <w:rsid w:val="00510957"/>
    <w:rsid w:val="00515709"/>
    <w:rsid w:val="00516444"/>
    <w:rsid w:val="005303D8"/>
    <w:rsid w:val="00530C80"/>
    <w:rsid w:val="00533853"/>
    <w:rsid w:val="00536817"/>
    <w:rsid w:val="00540585"/>
    <w:rsid w:val="00541D52"/>
    <w:rsid w:val="00544061"/>
    <w:rsid w:val="005443BE"/>
    <w:rsid w:val="0055219C"/>
    <w:rsid w:val="00556E1F"/>
    <w:rsid w:val="00560FE5"/>
    <w:rsid w:val="005657A1"/>
    <w:rsid w:val="00566B7B"/>
    <w:rsid w:val="00571DDA"/>
    <w:rsid w:val="00572F07"/>
    <w:rsid w:val="00584C55"/>
    <w:rsid w:val="0058764C"/>
    <w:rsid w:val="00594D07"/>
    <w:rsid w:val="005A00D9"/>
    <w:rsid w:val="005A0D16"/>
    <w:rsid w:val="005A38EF"/>
    <w:rsid w:val="005A5739"/>
    <w:rsid w:val="005A7792"/>
    <w:rsid w:val="005C5520"/>
    <w:rsid w:val="005D2DD5"/>
    <w:rsid w:val="005D6C92"/>
    <w:rsid w:val="005E46DD"/>
    <w:rsid w:val="005F0488"/>
    <w:rsid w:val="005F3BCE"/>
    <w:rsid w:val="00602B38"/>
    <w:rsid w:val="00611DF2"/>
    <w:rsid w:val="00613260"/>
    <w:rsid w:val="006258A2"/>
    <w:rsid w:val="006301AB"/>
    <w:rsid w:val="00630211"/>
    <w:rsid w:val="00631A6A"/>
    <w:rsid w:val="00641174"/>
    <w:rsid w:val="00642B1A"/>
    <w:rsid w:val="00643EAA"/>
    <w:rsid w:val="00650AD7"/>
    <w:rsid w:val="00654823"/>
    <w:rsid w:val="0066325E"/>
    <w:rsid w:val="006651D8"/>
    <w:rsid w:val="00666145"/>
    <w:rsid w:val="00674C02"/>
    <w:rsid w:val="00684815"/>
    <w:rsid w:val="00690983"/>
    <w:rsid w:val="006953BC"/>
    <w:rsid w:val="006A0AB5"/>
    <w:rsid w:val="006A3171"/>
    <w:rsid w:val="006B34B0"/>
    <w:rsid w:val="006B5225"/>
    <w:rsid w:val="006B623E"/>
    <w:rsid w:val="006C1662"/>
    <w:rsid w:val="006C216A"/>
    <w:rsid w:val="006C21CB"/>
    <w:rsid w:val="006C6BEB"/>
    <w:rsid w:val="006D73DC"/>
    <w:rsid w:val="006E2A0A"/>
    <w:rsid w:val="006E2D59"/>
    <w:rsid w:val="006E3C45"/>
    <w:rsid w:val="006E46BD"/>
    <w:rsid w:val="006E5D78"/>
    <w:rsid w:val="006E796E"/>
    <w:rsid w:val="006F028A"/>
    <w:rsid w:val="006F6E73"/>
    <w:rsid w:val="006F7336"/>
    <w:rsid w:val="007009BD"/>
    <w:rsid w:val="0070649C"/>
    <w:rsid w:val="00715FF0"/>
    <w:rsid w:val="00724AF2"/>
    <w:rsid w:val="00733DD2"/>
    <w:rsid w:val="00734194"/>
    <w:rsid w:val="00735973"/>
    <w:rsid w:val="0073661C"/>
    <w:rsid w:val="00736C49"/>
    <w:rsid w:val="00750058"/>
    <w:rsid w:val="0075082F"/>
    <w:rsid w:val="007524FC"/>
    <w:rsid w:val="00756E56"/>
    <w:rsid w:val="00763752"/>
    <w:rsid w:val="00765C8B"/>
    <w:rsid w:val="00772CEA"/>
    <w:rsid w:val="007739CB"/>
    <w:rsid w:val="00797028"/>
    <w:rsid w:val="007A7CB6"/>
    <w:rsid w:val="007B1140"/>
    <w:rsid w:val="007C21FE"/>
    <w:rsid w:val="007D0DE4"/>
    <w:rsid w:val="007D2FF3"/>
    <w:rsid w:val="007D3859"/>
    <w:rsid w:val="007D6DD1"/>
    <w:rsid w:val="007E1D66"/>
    <w:rsid w:val="007E2B35"/>
    <w:rsid w:val="007E688F"/>
    <w:rsid w:val="007F1C86"/>
    <w:rsid w:val="007F61FF"/>
    <w:rsid w:val="0080311B"/>
    <w:rsid w:val="0080485C"/>
    <w:rsid w:val="00813172"/>
    <w:rsid w:val="00822A88"/>
    <w:rsid w:val="00826C95"/>
    <w:rsid w:val="008310E1"/>
    <w:rsid w:val="00833272"/>
    <w:rsid w:val="00833451"/>
    <w:rsid w:val="00833B4D"/>
    <w:rsid w:val="00844F67"/>
    <w:rsid w:val="0085066F"/>
    <w:rsid w:val="00854AF2"/>
    <w:rsid w:val="00856C3B"/>
    <w:rsid w:val="008631BA"/>
    <w:rsid w:val="00865466"/>
    <w:rsid w:val="00867964"/>
    <w:rsid w:val="00870C6A"/>
    <w:rsid w:val="0088004F"/>
    <w:rsid w:val="00883E1B"/>
    <w:rsid w:val="00884C1C"/>
    <w:rsid w:val="0089270C"/>
    <w:rsid w:val="008937F8"/>
    <w:rsid w:val="0089505B"/>
    <w:rsid w:val="0089798D"/>
    <w:rsid w:val="008A4847"/>
    <w:rsid w:val="008B3339"/>
    <w:rsid w:val="008B7CD3"/>
    <w:rsid w:val="008C31C1"/>
    <w:rsid w:val="008C31C8"/>
    <w:rsid w:val="008C59A2"/>
    <w:rsid w:val="008C6202"/>
    <w:rsid w:val="008C7FE6"/>
    <w:rsid w:val="008D079D"/>
    <w:rsid w:val="008D455D"/>
    <w:rsid w:val="008E3431"/>
    <w:rsid w:val="008E4530"/>
    <w:rsid w:val="008E62F1"/>
    <w:rsid w:val="008E6B0B"/>
    <w:rsid w:val="008F2144"/>
    <w:rsid w:val="008F28F0"/>
    <w:rsid w:val="008F4776"/>
    <w:rsid w:val="008F4A4F"/>
    <w:rsid w:val="008F5AAC"/>
    <w:rsid w:val="008F7918"/>
    <w:rsid w:val="00901BA3"/>
    <w:rsid w:val="00905190"/>
    <w:rsid w:val="009051A8"/>
    <w:rsid w:val="00917725"/>
    <w:rsid w:val="00922647"/>
    <w:rsid w:val="0094573E"/>
    <w:rsid w:val="00946202"/>
    <w:rsid w:val="009511FC"/>
    <w:rsid w:val="00954122"/>
    <w:rsid w:val="0095766F"/>
    <w:rsid w:val="00981CE3"/>
    <w:rsid w:val="00981FE5"/>
    <w:rsid w:val="009839FE"/>
    <w:rsid w:val="00987BAA"/>
    <w:rsid w:val="00993628"/>
    <w:rsid w:val="00994E55"/>
    <w:rsid w:val="009961CC"/>
    <w:rsid w:val="009A4FE1"/>
    <w:rsid w:val="009B2995"/>
    <w:rsid w:val="009B35D1"/>
    <w:rsid w:val="009B5C91"/>
    <w:rsid w:val="009C4077"/>
    <w:rsid w:val="009C43E5"/>
    <w:rsid w:val="009E7B30"/>
    <w:rsid w:val="009F48A8"/>
    <w:rsid w:val="009F5283"/>
    <w:rsid w:val="00A070DE"/>
    <w:rsid w:val="00A10946"/>
    <w:rsid w:val="00A134C4"/>
    <w:rsid w:val="00A137C7"/>
    <w:rsid w:val="00A2232E"/>
    <w:rsid w:val="00A23B9B"/>
    <w:rsid w:val="00A2566E"/>
    <w:rsid w:val="00A325DE"/>
    <w:rsid w:val="00A46198"/>
    <w:rsid w:val="00A4704B"/>
    <w:rsid w:val="00A52C1B"/>
    <w:rsid w:val="00A55E55"/>
    <w:rsid w:val="00A56CD6"/>
    <w:rsid w:val="00A578D2"/>
    <w:rsid w:val="00A65541"/>
    <w:rsid w:val="00A67C38"/>
    <w:rsid w:val="00A832AA"/>
    <w:rsid w:val="00A936A2"/>
    <w:rsid w:val="00AA4D99"/>
    <w:rsid w:val="00AB2027"/>
    <w:rsid w:val="00AB31D1"/>
    <w:rsid w:val="00AC0DF2"/>
    <w:rsid w:val="00AC2AD9"/>
    <w:rsid w:val="00AC349B"/>
    <w:rsid w:val="00AC5F07"/>
    <w:rsid w:val="00AC5F66"/>
    <w:rsid w:val="00AD1C7D"/>
    <w:rsid w:val="00AE1CF4"/>
    <w:rsid w:val="00AE28CD"/>
    <w:rsid w:val="00AE340A"/>
    <w:rsid w:val="00AE34C3"/>
    <w:rsid w:val="00AE52E3"/>
    <w:rsid w:val="00AF00EE"/>
    <w:rsid w:val="00AF29C5"/>
    <w:rsid w:val="00AF2AD1"/>
    <w:rsid w:val="00B00735"/>
    <w:rsid w:val="00B05534"/>
    <w:rsid w:val="00B07318"/>
    <w:rsid w:val="00B1035B"/>
    <w:rsid w:val="00B13776"/>
    <w:rsid w:val="00B16E40"/>
    <w:rsid w:val="00B17303"/>
    <w:rsid w:val="00B235D6"/>
    <w:rsid w:val="00B35462"/>
    <w:rsid w:val="00B42E8F"/>
    <w:rsid w:val="00B4615E"/>
    <w:rsid w:val="00B50451"/>
    <w:rsid w:val="00B507F3"/>
    <w:rsid w:val="00B57890"/>
    <w:rsid w:val="00B608F1"/>
    <w:rsid w:val="00B90DDC"/>
    <w:rsid w:val="00B91E78"/>
    <w:rsid w:val="00B91E7B"/>
    <w:rsid w:val="00B925DC"/>
    <w:rsid w:val="00B94468"/>
    <w:rsid w:val="00B956EA"/>
    <w:rsid w:val="00B95CB6"/>
    <w:rsid w:val="00B96B3A"/>
    <w:rsid w:val="00BB7A87"/>
    <w:rsid w:val="00BC17B8"/>
    <w:rsid w:val="00BC7DB0"/>
    <w:rsid w:val="00BD0806"/>
    <w:rsid w:val="00BE0078"/>
    <w:rsid w:val="00BE5428"/>
    <w:rsid w:val="00BE5492"/>
    <w:rsid w:val="00BE562B"/>
    <w:rsid w:val="00BE7511"/>
    <w:rsid w:val="00BE7719"/>
    <w:rsid w:val="00BF00A1"/>
    <w:rsid w:val="00BF4F10"/>
    <w:rsid w:val="00C051AF"/>
    <w:rsid w:val="00C053BB"/>
    <w:rsid w:val="00C07A98"/>
    <w:rsid w:val="00C1545B"/>
    <w:rsid w:val="00C22EAD"/>
    <w:rsid w:val="00C239CF"/>
    <w:rsid w:val="00C269C6"/>
    <w:rsid w:val="00C31216"/>
    <w:rsid w:val="00C3373B"/>
    <w:rsid w:val="00C428DA"/>
    <w:rsid w:val="00C47A8B"/>
    <w:rsid w:val="00C52745"/>
    <w:rsid w:val="00C547FF"/>
    <w:rsid w:val="00C54B20"/>
    <w:rsid w:val="00C56B68"/>
    <w:rsid w:val="00C6227F"/>
    <w:rsid w:val="00C66259"/>
    <w:rsid w:val="00C66BCB"/>
    <w:rsid w:val="00C70EBB"/>
    <w:rsid w:val="00C7215C"/>
    <w:rsid w:val="00C75DEB"/>
    <w:rsid w:val="00C76C8F"/>
    <w:rsid w:val="00C82154"/>
    <w:rsid w:val="00C82E8B"/>
    <w:rsid w:val="00C859B8"/>
    <w:rsid w:val="00C86478"/>
    <w:rsid w:val="00CC0214"/>
    <w:rsid w:val="00CC7311"/>
    <w:rsid w:val="00CD0522"/>
    <w:rsid w:val="00CD3C75"/>
    <w:rsid w:val="00CD7465"/>
    <w:rsid w:val="00CD7EF6"/>
    <w:rsid w:val="00CE3051"/>
    <w:rsid w:val="00CF0C5B"/>
    <w:rsid w:val="00CF32F8"/>
    <w:rsid w:val="00D00680"/>
    <w:rsid w:val="00D20F73"/>
    <w:rsid w:val="00D22B28"/>
    <w:rsid w:val="00D233D0"/>
    <w:rsid w:val="00D4486F"/>
    <w:rsid w:val="00D46373"/>
    <w:rsid w:val="00D52D57"/>
    <w:rsid w:val="00D52EA6"/>
    <w:rsid w:val="00D57F8D"/>
    <w:rsid w:val="00D61EA7"/>
    <w:rsid w:val="00D64DAC"/>
    <w:rsid w:val="00D800FA"/>
    <w:rsid w:val="00D80125"/>
    <w:rsid w:val="00D935A6"/>
    <w:rsid w:val="00DA04E1"/>
    <w:rsid w:val="00DA2583"/>
    <w:rsid w:val="00DB2061"/>
    <w:rsid w:val="00DC736D"/>
    <w:rsid w:val="00DC7B6C"/>
    <w:rsid w:val="00DE15E2"/>
    <w:rsid w:val="00DE183D"/>
    <w:rsid w:val="00DE555F"/>
    <w:rsid w:val="00DE6617"/>
    <w:rsid w:val="00DF2E65"/>
    <w:rsid w:val="00DF4EE0"/>
    <w:rsid w:val="00E00009"/>
    <w:rsid w:val="00E021A7"/>
    <w:rsid w:val="00E12515"/>
    <w:rsid w:val="00E1331B"/>
    <w:rsid w:val="00E1438E"/>
    <w:rsid w:val="00E278EE"/>
    <w:rsid w:val="00E32F30"/>
    <w:rsid w:val="00E34A04"/>
    <w:rsid w:val="00E62B94"/>
    <w:rsid w:val="00E66472"/>
    <w:rsid w:val="00E671EA"/>
    <w:rsid w:val="00E73159"/>
    <w:rsid w:val="00E808F6"/>
    <w:rsid w:val="00E957A7"/>
    <w:rsid w:val="00E9615A"/>
    <w:rsid w:val="00EA0377"/>
    <w:rsid w:val="00EA15D0"/>
    <w:rsid w:val="00EA189C"/>
    <w:rsid w:val="00EA1C8C"/>
    <w:rsid w:val="00EA7FD6"/>
    <w:rsid w:val="00EB0226"/>
    <w:rsid w:val="00EB0732"/>
    <w:rsid w:val="00EB1830"/>
    <w:rsid w:val="00EB523D"/>
    <w:rsid w:val="00EB748C"/>
    <w:rsid w:val="00EC0ABA"/>
    <w:rsid w:val="00EC18A9"/>
    <w:rsid w:val="00ED011A"/>
    <w:rsid w:val="00ED1164"/>
    <w:rsid w:val="00ED7CFC"/>
    <w:rsid w:val="00EE0413"/>
    <w:rsid w:val="00EF1561"/>
    <w:rsid w:val="00EF7F73"/>
    <w:rsid w:val="00F00052"/>
    <w:rsid w:val="00F00B83"/>
    <w:rsid w:val="00F0778F"/>
    <w:rsid w:val="00F114DF"/>
    <w:rsid w:val="00F124E0"/>
    <w:rsid w:val="00F12A06"/>
    <w:rsid w:val="00F50AD8"/>
    <w:rsid w:val="00F51DB8"/>
    <w:rsid w:val="00F546C3"/>
    <w:rsid w:val="00F57A44"/>
    <w:rsid w:val="00F6525A"/>
    <w:rsid w:val="00F74595"/>
    <w:rsid w:val="00F80B3B"/>
    <w:rsid w:val="00F81374"/>
    <w:rsid w:val="00F819AA"/>
    <w:rsid w:val="00F834C4"/>
    <w:rsid w:val="00F84BDA"/>
    <w:rsid w:val="00F861FD"/>
    <w:rsid w:val="00F91FC5"/>
    <w:rsid w:val="00FA6FE1"/>
    <w:rsid w:val="00FB2EF8"/>
    <w:rsid w:val="00FB35EA"/>
    <w:rsid w:val="00FB7859"/>
    <w:rsid w:val="00FC0B73"/>
    <w:rsid w:val="00FC5E81"/>
    <w:rsid w:val="00FC6B12"/>
    <w:rsid w:val="00FD2C98"/>
    <w:rsid w:val="00FD676A"/>
    <w:rsid w:val="00FE0272"/>
    <w:rsid w:val="00FE3492"/>
    <w:rsid w:val="00FF26D3"/>
    <w:rsid w:val="00FF4862"/>
    <w:rsid w:val="00FF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F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36"/>
    <w:rPr>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4F36"/>
    <w:pPr>
      <w:tabs>
        <w:tab w:val="center" w:pos="4320"/>
        <w:tab w:val="right" w:pos="8640"/>
      </w:tabs>
    </w:pPr>
    <w:rPr>
      <w:rFonts w:ascii=".VnTime" w:hAnsi=".VnTime"/>
      <w:b w:val="0"/>
      <w:szCs w:val="24"/>
      <w:lang w:val="en-US"/>
    </w:rPr>
  </w:style>
  <w:style w:type="character" w:styleId="PageNumber">
    <w:name w:val="page number"/>
    <w:basedOn w:val="DefaultParagraphFont"/>
    <w:rsid w:val="00384F36"/>
  </w:style>
  <w:style w:type="paragraph" w:styleId="Header">
    <w:name w:val="header"/>
    <w:basedOn w:val="Normal"/>
    <w:link w:val="HeaderChar"/>
    <w:uiPriority w:val="99"/>
    <w:rsid w:val="00384F36"/>
    <w:pPr>
      <w:tabs>
        <w:tab w:val="center" w:pos="4320"/>
        <w:tab w:val="right" w:pos="8640"/>
      </w:tabs>
    </w:pPr>
  </w:style>
  <w:style w:type="table" w:styleId="TableGrid">
    <w:name w:val="Table Grid"/>
    <w:basedOn w:val="TableNormal"/>
    <w:uiPriority w:val="39"/>
    <w:rsid w:val="00E96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F1C86"/>
    <w:rPr>
      <w:color w:val="0000FF"/>
      <w:u w:val="single"/>
    </w:rPr>
  </w:style>
  <w:style w:type="paragraph" w:styleId="ListParagraph">
    <w:name w:val="List Paragraph"/>
    <w:basedOn w:val="Normal"/>
    <w:uiPriority w:val="34"/>
    <w:qFormat/>
    <w:rsid w:val="00FD676A"/>
    <w:pPr>
      <w:ind w:left="720"/>
      <w:contextualSpacing/>
    </w:pPr>
  </w:style>
  <w:style w:type="character" w:customStyle="1" w:styleId="FooterChar">
    <w:name w:val="Footer Char"/>
    <w:basedOn w:val="DefaultParagraphFont"/>
    <w:link w:val="Footer"/>
    <w:uiPriority w:val="99"/>
    <w:rsid w:val="00430B50"/>
    <w:rPr>
      <w:rFonts w:ascii=".VnTime" w:hAnsi=".VnTime"/>
      <w:sz w:val="28"/>
      <w:szCs w:val="24"/>
    </w:rPr>
  </w:style>
  <w:style w:type="paragraph" w:customStyle="1" w:styleId="Default">
    <w:name w:val="Default"/>
    <w:rsid w:val="00833B4D"/>
    <w:pPr>
      <w:autoSpaceDE w:val="0"/>
      <w:autoSpaceDN w:val="0"/>
      <w:adjustRightInd w:val="0"/>
    </w:pPr>
    <w:rPr>
      <w:color w:val="000000"/>
      <w:sz w:val="24"/>
      <w:szCs w:val="24"/>
    </w:rPr>
  </w:style>
  <w:style w:type="character" w:customStyle="1" w:styleId="fontstyle01">
    <w:name w:val="fontstyle01"/>
    <w:basedOn w:val="DefaultParagraphFont"/>
    <w:rsid w:val="0003061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3061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semiHidden/>
    <w:unhideWhenUsed/>
    <w:rsid w:val="000140EE"/>
    <w:rPr>
      <w:rFonts w:ascii="Tahoma" w:hAnsi="Tahoma" w:cs="Tahoma"/>
      <w:sz w:val="16"/>
      <w:szCs w:val="16"/>
    </w:rPr>
  </w:style>
  <w:style w:type="character" w:customStyle="1" w:styleId="BalloonTextChar">
    <w:name w:val="Balloon Text Char"/>
    <w:basedOn w:val="DefaultParagraphFont"/>
    <w:link w:val="BalloonText"/>
    <w:semiHidden/>
    <w:rsid w:val="000140EE"/>
    <w:rPr>
      <w:rFonts w:ascii="Tahoma" w:hAnsi="Tahoma" w:cs="Tahoma"/>
      <w:b/>
      <w:sz w:val="16"/>
      <w:szCs w:val="16"/>
      <w:lang w:val="en-GB"/>
    </w:rPr>
  </w:style>
  <w:style w:type="paragraph" w:styleId="NormalWeb">
    <w:name w:val="Normal (Web)"/>
    <w:basedOn w:val="Normal"/>
    <w:uiPriority w:val="99"/>
    <w:semiHidden/>
    <w:unhideWhenUsed/>
    <w:rsid w:val="006B34B0"/>
    <w:pPr>
      <w:spacing w:before="100" w:beforeAutospacing="1" w:after="100" w:afterAutospacing="1"/>
    </w:pPr>
    <w:rPr>
      <w:b w:val="0"/>
      <w:sz w:val="24"/>
      <w:szCs w:val="24"/>
      <w:lang w:val="en-US"/>
    </w:rPr>
  </w:style>
  <w:style w:type="character" w:customStyle="1" w:styleId="HeaderChar">
    <w:name w:val="Header Char"/>
    <w:basedOn w:val="DefaultParagraphFont"/>
    <w:link w:val="Header"/>
    <w:uiPriority w:val="99"/>
    <w:rsid w:val="00D4486F"/>
    <w:rPr>
      <w:b/>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36"/>
    <w:rPr>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4F36"/>
    <w:pPr>
      <w:tabs>
        <w:tab w:val="center" w:pos="4320"/>
        <w:tab w:val="right" w:pos="8640"/>
      </w:tabs>
    </w:pPr>
    <w:rPr>
      <w:rFonts w:ascii=".VnTime" w:hAnsi=".VnTime"/>
      <w:b w:val="0"/>
      <w:szCs w:val="24"/>
      <w:lang w:val="en-US"/>
    </w:rPr>
  </w:style>
  <w:style w:type="character" w:styleId="PageNumber">
    <w:name w:val="page number"/>
    <w:basedOn w:val="DefaultParagraphFont"/>
    <w:rsid w:val="00384F36"/>
  </w:style>
  <w:style w:type="paragraph" w:styleId="Header">
    <w:name w:val="header"/>
    <w:basedOn w:val="Normal"/>
    <w:link w:val="HeaderChar"/>
    <w:uiPriority w:val="99"/>
    <w:rsid w:val="00384F36"/>
    <w:pPr>
      <w:tabs>
        <w:tab w:val="center" w:pos="4320"/>
        <w:tab w:val="right" w:pos="8640"/>
      </w:tabs>
    </w:pPr>
  </w:style>
  <w:style w:type="table" w:styleId="TableGrid">
    <w:name w:val="Table Grid"/>
    <w:basedOn w:val="TableNormal"/>
    <w:uiPriority w:val="39"/>
    <w:rsid w:val="00E96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F1C86"/>
    <w:rPr>
      <w:color w:val="0000FF"/>
      <w:u w:val="single"/>
    </w:rPr>
  </w:style>
  <w:style w:type="paragraph" w:styleId="ListParagraph">
    <w:name w:val="List Paragraph"/>
    <w:basedOn w:val="Normal"/>
    <w:uiPriority w:val="34"/>
    <w:qFormat/>
    <w:rsid w:val="00FD676A"/>
    <w:pPr>
      <w:ind w:left="720"/>
      <w:contextualSpacing/>
    </w:pPr>
  </w:style>
  <w:style w:type="character" w:customStyle="1" w:styleId="FooterChar">
    <w:name w:val="Footer Char"/>
    <w:basedOn w:val="DefaultParagraphFont"/>
    <w:link w:val="Footer"/>
    <w:uiPriority w:val="99"/>
    <w:rsid w:val="00430B50"/>
    <w:rPr>
      <w:rFonts w:ascii=".VnTime" w:hAnsi=".VnTime"/>
      <w:sz w:val="28"/>
      <w:szCs w:val="24"/>
    </w:rPr>
  </w:style>
  <w:style w:type="paragraph" w:customStyle="1" w:styleId="Default">
    <w:name w:val="Default"/>
    <w:rsid w:val="00833B4D"/>
    <w:pPr>
      <w:autoSpaceDE w:val="0"/>
      <w:autoSpaceDN w:val="0"/>
      <w:adjustRightInd w:val="0"/>
    </w:pPr>
    <w:rPr>
      <w:color w:val="000000"/>
      <w:sz w:val="24"/>
      <w:szCs w:val="24"/>
    </w:rPr>
  </w:style>
  <w:style w:type="character" w:customStyle="1" w:styleId="fontstyle01">
    <w:name w:val="fontstyle01"/>
    <w:basedOn w:val="DefaultParagraphFont"/>
    <w:rsid w:val="0003061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3061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semiHidden/>
    <w:unhideWhenUsed/>
    <w:rsid w:val="000140EE"/>
    <w:rPr>
      <w:rFonts w:ascii="Tahoma" w:hAnsi="Tahoma" w:cs="Tahoma"/>
      <w:sz w:val="16"/>
      <w:szCs w:val="16"/>
    </w:rPr>
  </w:style>
  <w:style w:type="character" w:customStyle="1" w:styleId="BalloonTextChar">
    <w:name w:val="Balloon Text Char"/>
    <w:basedOn w:val="DefaultParagraphFont"/>
    <w:link w:val="BalloonText"/>
    <w:semiHidden/>
    <w:rsid w:val="000140EE"/>
    <w:rPr>
      <w:rFonts w:ascii="Tahoma" w:hAnsi="Tahoma" w:cs="Tahoma"/>
      <w:b/>
      <w:sz w:val="16"/>
      <w:szCs w:val="16"/>
      <w:lang w:val="en-GB"/>
    </w:rPr>
  </w:style>
  <w:style w:type="paragraph" w:styleId="NormalWeb">
    <w:name w:val="Normal (Web)"/>
    <w:basedOn w:val="Normal"/>
    <w:uiPriority w:val="99"/>
    <w:semiHidden/>
    <w:unhideWhenUsed/>
    <w:rsid w:val="006B34B0"/>
    <w:pPr>
      <w:spacing w:before="100" w:beforeAutospacing="1" w:after="100" w:afterAutospacing="1"/>
    </w:pPr>
    <w:rPr>
      <w:b w:val="0"/>
      <w:sz w:val="24"/>
      <w:szCs w:val="24"/>
      <w:lang w:val="en-US"/>
    </w:rPr>
  </w:style>
  <w:style w:type="character" w:customStyle="1" w:styleId="HeaderChar">
    <w:name w:val="Header Char"/>
    <w:basedOn w:val="DefaultParagraphFont"/>
    <w:link w:val="Header"/>
    <w:uiPriority w:val="99"/>
    <w:rsid w:val="00D4486F"/>
    <w:rPr>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65280">
      <w:bodyDiv w:val="1"/>
      <w:marLeft w:val="0"/>
      <w:marRight w:val="0"/>
      <w:marTop w:val="0"/>
      <w:marBottom w:val="0"/>
      <w:divBdr>
        <w:top w:val="none" w:sz="0" w:space="0" w:color="auto"/>
        <w:left w:val="none" w:sz="0" w:space="0" w:color="auto"/>
        <w:bottom w:val="none" w:sz="0" w:space="0" w:color="auto"/>
        <w:right w:val="none" w:sz="0" w:space="0" w:color="auto"/>
      </w:divBdr>
    </w:div>
    <w:div w:id="20733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kenhtuyensinh.com.vn/tuyen-sinh-lop-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D2A621E-C972-405E-91C4-F1562808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HƯỚNG DẪN HOẠT ĐỘNG CHUYÊN MÔN</vt:lpstr>
    </vt:vector>
  </TitlesOfParts>
  <Company>HOME</Company>
  <LinksUpToDate>false</LinksUpToDate>
  <CharactersWithSpaces>16871</CharactersWithSpaces>
  <SharedDoc>false</SharedDoc>
  <HLinks>
    <vt:vector size="12" baseType="variant">
      <vt:variant>
        <vt:i4>6619193</vt:i4>
      </vt:variant>
      <vt:variant>
        <vt:i4>3</vt:i4>
      </vt:variant>
      <vt:variant>
        <vt:i4>0</vt:i4>
      </vt:variant>
      <vt:variant>
        <vt:i4>5</vt:i4>
      </vt:variant>
      <vt:variant>
        <vt:lpwstr>http://danhgia.truonghocao.edu.vn/</vt:lpwstr>
      </vt:variant>
      <vt:variant>
        <vt:lpwstr/>
      </vt:variant>
      <vt:variant>
        <vt:i4>7798889</vt:i4>
      </vt:variant>
      <vt:variant>
        <vt:i4>0</vt:i4>
      </vt:variant>
      <vt:variant>
        <vt:i4>0</vt:i4>
      </vt:variant>
      <vt:variant>
        <vt:i4>5</vt:i4>
      </vt:variant>
      <vt:variant>
        <vt:lpwstr>http://giaoducphothong.edu.vn/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HOẠT ĐỘNG CHUYÊN MÔN</dc:title>
  <dc:creator>Technical CMS</dc:creator>
  <cp:lastModifiedBy>TRAN DANG NGHIA</cp:lastModifiedBy>
  <cp:revision>12</cp:revision>
  <cp:lastPrinted>2020-02-07T02:11:00Z</cp:lastPrinted>
  <dcterms:created xsi:type="dcterms:W3CDTF">2024-09-16T01:46:00Z</dcterms:created>
  <dcterms:modified xsi:type="dcterms:W3CDTF">2024-09-16T03:27:00Z</dcterms:modified>
</cp:coreProperties>
</file>